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073" w:rsidRPr="008A2A96" w:rsidRDefault="00D30073" w:rsidP="00D30073">
      <w:pPr>
        <w:pStyle w:val="Titre"/>
        <w:rPr>
          <w:rFonts w:ascii="Marianne" w:hAnsi="Marianne"/>
          <w:b/>
          <w:color w:val="FFFFFF" w:themeColor="background1"/>
          <w:sz w:val="48"/>
          <w:shd w:val="clear" w:color="auto" w:fill="FFFFFF" w:themeFill="background1"/>
        </w:rPr>
      </w:pPr>
      <w:r w:rsidRPr="008A2A96">
        <w:rPr>
          <w:rFonts w:ascii="Marianne" w:hAnsi="Marianne"/>
          <w:b/>
          <w:color w:val="4472C4" w:themeColor="accent5"/>
          <w:sz w:val="48"/>
          <w:shd w:val="clear" w:color="auto" w:fill="D9E2F3" w:themeFill="accent5" w:themeFillTint="33"/>
        </w:rPr>
        <w:t xml:space="preserve">Annexe 1 </w:t>
      </w:r>
      <w:r w:rsidRPr="008A2A96">
        <w:rPr>
          <w:rFonts w:ascii="Marianne" w:hAnsi="Marianne"/>
          <w:b/>
          <w:color w:val="FFFFFF" w:themeColor="background1"/>
          <w:sz w:val="48"/>
          <w:shd w:val="clear" w:color="auto" w:fill="FFFFFF" w:themeFill="background1"/>
        </w:rPr>
        <w:t xml:space="preserve"> </w:t>
      </w:r>
      <w:r w:rsidRPr="008A2A96">
        <w:rPr>
          <w:rFonts w:ascii="Marianne" w:hAnsi="Marianne" w:cs="Arial"/>
          <w:b/>
          <w:color w:val="8EAADB" w:themeColor="accent5" w:themeTint="99"/>
          <w:sz w:val="36"/>
          <w:szCs w:val="28"/>
          <w:shd w:val="clear" w:color="auto" w:fill="FBE4D5" w:themeFill="accent2" w:themeFillTint="33"/>
        </w:rPr>
        <w:t xml:space="preserve"> </w:t>
      </w:r>
    </w:p>
    <w:p w:rsidR="00D30073" w:rsidRPr="008A2A96" w:rsidRDefault="00D30073" w:rsidP="00D30073">
      <w:pPr>
        <w:spacing w:after="480"/>
        <w:rPr>
          <w:sz w:val="40"/>
        </w:rPr>
      </w:pPr>
      <w:bookmarkStart w:id="0" w:name="_GoBack"/>
      <w:r w:rsidRPr="008A2A96">
        <w:rPr>
          <w:sz w:val="40"/>
        </w:rPr>
        <w:t xml:space="preserve">Modèle de trame rédactionnelle du </w:t>
      </w:r>
      <w:r w:rsidRPr="008A2A96">
        <w:rPr>
          <w:sz w:val="40"/>
        </w:rPr>
        <w:br/>
        <w:t>plan annuel RCD</w:t>
      </w:r>
      <w:r w:rsidRPr="008A2A96" w:rsidDel="00764699">
        <w:rPr>
          <w:sz w:val="40"/>
        </w:rPr>
        <w:t xml:space="preserve"> </w:t>
      </w:r>
      <w:r w:rsidRPr="008A2A96">
        <w:rPr>
          <w:sz w:val="40"/>
        </w:rPr>
        <w:t xml:space="preserve"> </w:t>
      </w:r>
    </w:p>
    <w:bookmarkEnd w:id="0"/>
    <w:p w:rsidR="00D30073" w:rsidRPr="008A2A96" w:rsidRDefault="00D30073" w:rsidP="00D30073">
      <w:r w:rsidRPr="008A2A96">
        <w:t xml:space="preserve">Établissement : </w:t>
      </w:r>
    </w:p>
    <w:p w:rsidR="00D30073" w:rsidRPr="008A2A96" w:rsidRDefault="00D30073" w:rsidP="00D30073">
      <w:r w:rsidRPr="008A2A96">
        <w:t xml:space="preserve">Année-scolaire : </w:t>
      </w:r>
    </w:p>
    <w:tbl>
      <w:tblPr>
        <w:tblStyle w:val="Grilledutableau"/>
        <w:tblW w:w="0" w:type="auto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9062"/>
      </w:tblGrid>
      <w:tr w:rsidR="00D30073" w:rsidRPr="008A2A96" w:rsidTr="00582A74">
        <w:tc>
          <w:tcPr>
            <w:tcW w:w="9628" w:type="dxa"/>
            <w:shd w:val="clear" w:color="auto" w:fill="4472C4" w:themeFill="accent5"/>
          </w:tcPr>
          <w:p w:rsidR="00D30073" w:rsidRPr="008A2A96" w:rsidRDefault="00D30073" w:rsidP="00582A74">
            <w:pPr>
              <w:rPr>
                <w:b/>
                <w:lang w:eastAsia="fr-FR"/>
              </w:rPr>
            </w:pPr>
            <w:r w:rsidRPr="008A2A96">
              <w:rPr>
                <w:b/>
                <w:color w:val="FFFFFF" w:themeColor="background1"/>
                <w:lang w:eastAsia="fr-FR"/>
              </w:rPr>
              <w:t xml:space="preserve">DÉFINITION DES OBJECTIFS DU PLAN ANNUEL « RCD » </w:t>
            </w:r>
          </w:p>
        </w:tc>
      </w:tr>
      <w:tr w:rsidR="00D30073" w:rsidRPr="008A2A96" w:rsidTr="00582A74">
        <w:trPr>
          <w:trHeight w:val="2448"/>
        </w:trPr>
        <w:tc>
          <w:tcPr>
            <w:tcW w:w="9628" w:type="dxa"/>
          </w:tcPr>
          <w:p w:rsidR="00D30073" w:rsidRPr="00D11C4A" w:rsidRDefault="00D30073" w:rsidP="00582A74">
            <w:pPr>
              <w:rPr>
                <w:i/>
                <w:szCs w:val="18"/>
                <w:lang w:eastAsia="fr-FR"/>
              </w:rPr>
            </w:pPr>
            <w:r w:rsidRPr="00D11C4A">
              <w:rPr>
                <w:i/>
                <w:szCs w:val="18"/>
                <w:lang w:eastAsia="fr-FR"/>
              </w:rPr>
              <w:t xml:space="preserve">Afficher des </w:t>
            </w:r>
            <w:r w:rsidRPr="00D11C4A">
              <w:rPr>
                <w:i/>
                <w:szCs w:val="18"/>
                <w:u w:val="single"/>
                <w:lang w:eastAsia="fr-FR"/>
              </w:rPr>
              <w:t>objectifs d’amélioration continue</w:t>
            </w:r>
            <w:r w:rsidRPr="00D11C4A">
              <w:rPr>
                <w:i/>
                <w:szCs w:val="18"/>
                <w:lang w:eastAsia="fr-FR"/>
              </w:rPr>
              <w:t xml:space="preserve"> de couverture des absences de courte durée afin de renforcer les dispositifs existants dans l’établissement. Ils recouvrent à la fois des aspects d’organisation mais également des aspects pédagogiques (mutualisation de ressources et supports pédagogiques, pratiques collaboratives, conventionnement avec des éditeurs de séquences pédagogiques numériques en ligne…)</w:t>
            </w:r>
          </w:p>
          <w:p w:rsidR="00D30073" w:rsidRPr="00D11C4A" w:rsidRDefault="00D30073" w:rsidP="00582A74">
            <w:pPr>
              <w:rPr>
                <w:lang w:eastAsia="fr-FR"/>
              </w:rPr>
            </w:pPr>
          </w:p>
          <w:p w:rsidR="00D30073" w:rsidRPr="00D11C4A" w:rsidRDefault="00D30073" w:rsidP="00582A74">
            <w:pPr>
              <w:rPr>
                <w:lang w:eastAsia="fr-FR"/>
              </w:rPr>
            </w:pPr>
            <w:r w:rsidRPr="00D11C4A">
              <w:rPr>
                <w:lang w:eastAsia="fr-FR"/>
              </w:rPr>
              <w:sym w:font="Wingdings" w:char="F0F0"/>
            </w:r>
            <w:r w:rsidRPr="00D11C4A">
              <w:rPr>
                <w:lang w:eastAsia="fr-FR"/>
              </w:rPr>
              <w:t xml:space="preserve"> …</w:t>
            </w:r>
          </w:p>
          <w:p w:rsidR="00D30073" w:rsidRPr="00D11C4A" w:rsidRDefault="00D30073" w:rsidP="00582A74">
            <w:pPr>
              <w:rPr>
                <w:lang w:eastAsia="fr-FR"/>
              </w:rPr>
            </w:pPr>
          </w:p>
          <w:p w:rsidR="00D30073" w:rsidRPr="00D11C4A" w:rsidRDefault="00D30073" w:rsidP="00582A74">
            <w:pPr>
              <w:rPr>
                <w:lang w:eastAsia="fr-FR"/>
              </w:rPr>
            </w:pPr>
            <w:r w:rsidRPr="00D11C4A">
              <w:rPr>
                <w:lang w:eastAsia="fr-FR"/>
              </w:rPr>
              <w:sym w:font="Wingdings" w:char="F0F0"/>
            </w:r>
            <w:r w:rsidRPr="00D11C4A">
              <w:rPr>
                <w:lang w:eastAsia="fr-FR"/>
              </w:rPr>
              <w:t xml:space="preserve"> …</w:t>
            </w:r>
          </w:p>
          <w:p w:rsidR="00D30073" w:rsidRPr="008A2A96" w:rsidRDefault="00D30073" w:rsidP="00582A74">
            <w:pPr>
              <w:rPr>
                <w:b/>
                <w:lang w:eastAsia="fr-FR"/>
              </w:rPr>
            </w:pPr>
          </w:p>
        </w:tc>
      </w:tr>
      <w:tr w:rsidR="00D30073" w:rsidRPr="008A2A96" w:rsidTr="00582A74">
        <w:trPr>
          <w:trHeight w:val="882"/>
        </w:trPr>
        <w:tc>
          <w:tcPr>
            <w:tcW w:w="9628" w:type="dxa"/>
          </w:tcPr>
          <w:p w:rsidR="00D30073" w:rsidRPr="008A2A96" w:rsidRDefault="00D30073" w:rsidP="00582A74">
            <w:pPr>
              <w:rPr>
                <w:lang w:eastAsia="fr-FR"/>
              </w:rPr>
            </w:pPr>
            <w:r w:rsidRPr="008A2A96">
              <w:rPr>
                <w:b/>
                <w:color w:val="4472C4" w:themeColor="accent5"/>
                <w:lang w:eastAsia="fr-FR"/>
              </w:rPr>
              <w:sym w:font="Wingdings" w:char="F0E0"/>
            </w:r>
            <w:r w:rsidRPr="008A2A96">
              <w:rPr>
                <w:b/>
                <w:color w:val="4472C4" w:themeColor="accent5"/>
                <w:lang w:eastAsia="fr-FR"/>
              </w:rPr>
              <w:t> Mise en relation avec le contrat d’objectif</w:t>
            </w:r>
            <w:r>
              <w:rPr>
                <w:b/>
                <w:color w:val="4472C4" w:themeColor="accent5"/>
                <w:lang w:eastAsia="fr-FR"/>
              </w:rPr>
              <w:t xml:space="preserve"> et le projet d’établissement </w:t>
            </w:r>
            <w:r w:rsidRPr="008A2A96">
              <w:rPr>
                <w:rStyle w:val="Appelnotedebasdep"/>
                <w:b/>
                <w:color w:val="4472C4" w:themeColor="accent5"/>
                <w:lang w:eastAsia="fr-FR"/>
              </w:rPr>
              <w:footnoteReference w:id="1"/>
            </w:r>
            <w:r w:rsidRPr="008A2A96">
              <w:rPr>
                <w:b/>
                <w:color w:val="4472C4" w:themeColor="accent5"/>
                <w:lang w:eastAsia="fr-FR"/>
              </w:rPr>
              <w:t xml:space="preserve"> de l’établissement en vigueur</w:t>
            </w:r>
            <w:r w:rsidRPr="008A2A96">
              <w:rPr>
                <w:color w:val="4472C4" w:themeColor="accent5"/>
                <w:lang w:eastAsia="fr-FR"/>
              </w:rPr>
              <w:t xml:space="preserve"> : </w:t>
            </w:r>
          </w:p>
        </w:tc>
      </w:tr>
    </w:tbl>
    <w:p w:rsidR="00D30073" w:rsidRPr="008A2A96" w:rsidRDefault="00D30073" w:rsidP="00D30073">
      <w:pPr>
        <w:rPr>
          <w:b/>
          <w:lang w:eastAsia="fr-FR"/>
        </w:rPr>
      </w:pPr>
    </w:p>
    <w:tbl>
      <w:tblPr>
        <w:tblStyle w:val="Grilledutableau"/>
        <w:tblW w:w="5000" w:type="pct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9062"/>
      </w:tblGrid>
      <w:tr w:rsidR="00D30073" w:rsidRPr="008A2A96" w:rsidTr="00582A74">
        <w:tc>
          <w:tcPr>
            <w:tcW w:w="5000" w:type="pct"/>
            <w:shd w:val="clear" w:color="auto" w:fill="4472C4" w:themeFill="accent5"/>
          </w:tcPr>
          <w:p w:rsidR="00D30073" w:rsidRPr="008A2A96" w:rsidRDefault="00D30073" w:rsidP="00582A74">
            <w:pPr>
              <w:rPr>
                <w:b/>
                <w:lang w:eastAsia="fr-FR"/>
              </w:rPr>
            </w:pPr>
            <w:r w:rsidRPr="008A2A96">
              <w:rPr>
                <w:b/>
                <w:color w:val="FFFFFF" w:themeColor="background1"/>
                <w:lang w:eastAsia="fr-FR"/>
              </w:rPr>
              <w:t>DIAGNOSTIC DES BESOINS</w:t>
            </w:r>
            <w:r>
              <w:rPr>
                <w:b/>
                <w:color w:val="FFFFFF" w:themeColor="background1"/>
                <w:lang w:eastAsia="fr-FR"/>
              </w:rPr>
              <w:t xml:space="preserve"> </w:t>
            </w:r>
            <w:r w:rsidRPr="00274170">
              <w:rPr>
                <w:b/>
                <w:color w:val="FFFFFF" w:themeColor="background1"/>
                <w:lang w:eastAsia="fr-FR"/>
              </w:rPr>
              <w:t>ET DES MOYENS DISPONIBLES</w:t>
            </w:r>
          </w:p>
        </w:tc>
      </w:tr>
      <w:tr w:rsidR="00D30073" w:rsidRPr="008A2A96" w:rsidTr="00D30073">
        <w:trPr>
          <w:trHeight w:val="1254"/>
        </w:trPr>
        <w:tc>
          <w:tcPr>
            <w:tcW w:w="5000" w:type="pct"/>
          </w:tcPr>
          <w:p w:rsidR="00D30073" w:rsidRPr="00D11C4A" w:rsidRDefault="00D30073" w:rsidP="00582A74">
            <w:pPr>
              <w:jc w:val="both"/>
              <w:rPr>
                <w:i/>
                <w:szCs w:val="18"/>
                <w:lang w:eastAsia="fr-FR"/>
              </w:rPr>
            </w:pPr>
            <w:r w:rsidRPr="00D11C4A">
              <w:rPr>
                <w:i/>
                <w:szCs w:val="18"/>
                <w:lang w:eastAsia="fr-FR"/>
              </w:rPr>
              <w:t>Préciser les besoins quantifiés et les moyens alloués à la couverture des absences de courte durée.</w:t>
            </w:r>
          </w:p>
          <w:p w:rsidR="00D30073" w:rsidRPr="008A2A96" w:rsidRDefault="00D30073" w:rsidP="00582A74">
            <w:pPr>
              <w:rPr>
                <w:b/>
                <w:lang w:eastAsia="fr-FR"/>
              </w:rPr>
            </w:pPr>
          </w:p>
          <w:p w:rsidR="00D30073" w:rsidRPr="008A2A96" w:rsidRDefault="00D30073" w:rsidP="00582A74">
            <w:pPr>
              <w:rPr>
                <w:b/>
                <w:lang w:eastAsia="fr-FR"/>
              </w:rPr>
            </w:pPr>
          </w:p>
          <w:p w:rsidR="00D30073" w:rsidRPr="008A2A96" w:rsidRDefault="00D30073" w:rsidP="00582A74">
            <w:pPr>
              <w:rPr>
                <w:b/>
                <w:lang w:eastAsia="fr-FR"/>
              </w:rPr>
            </w:pPr>
          </w:p>
          <w:p w:rsidR="00D30073" w:rsidRPr="008A2A96" w:rsidRDefault="00D30073" w:rsidP="00582A74">
            <w:pPr>
              <w:rPr>
                <w:b/>
                <w:lang w:eastAsia="fr-FR"/>
              </w:rPr>
            </w:pPr>
          </w:p>
        </w:tc>
      </w:tr>
    </w:tbl>
    <w:p w:rsidR="00D30073" w:rsidRDefault="00D30073" w:rsidP="00D30073">
      <w:pPr>
        <w:rPr>
          <w:b/>
          <w:lang w:eastAsia="fr-FR"/>
        </w:rPr>
      </w:pPr>
    </w:p>
    <w:tbl>
      <w:tblPr>
        <w:tblStyle w:val="Grilledutableau"/>
        <w:tblW w:w="0" w:type="auto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9062"/>
      </w:tblGrid>
      <w:tr w:rsidR="00D30073" w:rsidRPr="002D2453" w:rsidTr="00582A74">
        <w:tc>
          <w:tcPr>
            <w:tcW w:w="9628" w:type="dxa"/>
            <w:shd w:val="clear" w:color="auto" w:fill="4472C4" w:themeFill="accent5"/>
          </w:tcPr>
          <w:p w:rsidR="00D30073" w:rsidRPr="00D11C4A" w:rsidRDefault="00D30073" w:rsidP="00582A74">
            <w:pPr>
              <w:rPr>
                <w:b/>
                <w:lang w:eastAsia="fr-FR"/>
              </w:rPr>
            </w:pPr>
            <w:r>
              <w:rPr>
                <w:b/>
                <w:color w:val="FFFFFF" w:themeColor="background1"/>
                <w:lang w:eastAsia="fr-FR"/>
              </w:rPr>
              <w:t xml:space="preserve">LES ACTIONS EN FAVEUR DE LA CONTINUITE PÉDAGOGIQUE </w:t>
            </w:r>
          </w:p>
        </w:tc>
      </w:tr>
      <w:tr w:rsidR="00D30073" w:rsidRPr="002D2453" w:rsidTr="00582A74">
        <w:trPr>
          <w:trHeight w:val="2523"/>
        </w:trPr>
        <w:tc>
          <w:tcPr>
            <w:tcW w:w="9628" w:type="dxa"/>
          </w:tcPr>
          <w:p w:rsidR="00D30073" w:rsidRPr="00274170" w:rsidRDefault="00D30073" w:rsidP="00582A74">
            <w:pPr>
              <w:jc w:val="both"/>
              <w:rPr>
                <w:b/>
                <w:lang w:eastAsia="fr-FR"/>
              </w:rPr>
            </w:pPr>
            <w:r w:rsidRPr="00274170">
              <w:rPr>
                <w:i/>
                <w:szCs w:val="18"/>
                <w:lang w:eastAsia="fr-FR"/>
              </w:rPr>
              <w:t>1 - Préciser les actions engagées afin de réduire l’impact du fonctionnement de l’Institution et l’établissement sur l’emploi du temps des élèves (en particulier la réduction des absences générées par l’établissement : réunions pédagogiques, journées banalisées, temps dédiés aux formations …)</w:t>
            </w:r>
          </w:p>
          <w:p w:rsidR="00D30073" w:rsidRPr="00274170" w:rsidRDefault="00D30073" w:rsidP="00582A74">
            <w:pPr>
              <w:jc w:val="both"/>
              <w:rPr>
                <w:b/>
                <w:lang w:eastAsia="fr-FR"/>
              </w:rPr>
            </w:pPr>
          </w:p>
          <w:p w:rsidR="00D30073" w:rsidRPr="00274170" w:rsidRDefault="00D30073" w:rsidP="00582A74">
            <w:pPr>
              <w:jc w:val="both"/>
              <w:rPr>
                <w:b/>
                <w:lang w:eastAsia="fr-FR"/>
              </w:rPr>
            </w:pPr>
            <w:r w:rsidRPr="00274170">
              <w:rPr>
                <w:i/>
                <w:szCs w:val="18"/>
                <w:lang w:eastAsia="fr-FR"/>
              </w:rPr>
              <w:t>2 - Préciser les actions engagées afin d’élargir le vivier et de mobiliser les remplaçants (par exemple optimisation des emplois du temps de manière à faciliter la mobilisation des personnels assurant les remplacements)</w:t>
            </w:r>
          </w:p>
          <w:p w:rsidR="00D30073" w:rsidRPr="00274170" w:rsidRDefault="00D30073" w:rsidP="00582A74">
            <w:pPr>
              <w:jc w:val="both"/>
              <w:rPr>
                <w:b/>
                <w:lang w:eastAsia="fr-FR"/>
              </w:rPr>
            </w:pPr>
          </w:p>
          <w:p w:rsidR="00D30073" w:rsidRPr="00274170" w:rsidRDefault="00D30073" w:rsidP="00582A74">
            <w:pPr>
              <w:jc w:val="both"/>
              <w:rPr>
                <w:b/>
                <w:lang w:eastAsia="fr-FR"/>
              </w:rPr>
            </w:pPr>
            <w:r w:rsidRPr="00274170">
              <w:rPr>
                <w:i/>
                <w:szCs w:val="18"/>
                <w:lang w:eastAsia="fr-FR"/>
              </w:rPr>
              <w:t>3 - Préciser les actions engagées afin de mettre en œuvre les séquences pédagogiques encadrées par des AED (par exemple adhésion à des plateformes numériques d’apprentissage notamment Program’cours proposé par la CNED pour le niveau collège, formation des AED, mise à disposition des équipements et salles informatiques…)</w:t>
            </w:r>
          </w:p>
          <w:p w:rsidR="00D30073" w:rsidRPr="00274170" w:rsidRDefault="00D30073" w:rsidP="00582A74">
            <w:pPr>
              <w:jc w:val="both"/>
              <w:rPr>
                <w:b/>
                <w:lang w:eastAsia="fr-FR"/>
              </w:rPr>
            </w:pPr>
          </w:p>
        </w:tc>
      </w:tr>
    </w:tbl>
    <w:p w:rsidR="00D30073" w:rsidRPr="008A2A96" w:rsidRDefault="00D30073" w:rsidP="00D30073">
      <w:pPr>
        <w:spacing w:line="259" w:lineRule="auto"/>
        <w:rPr>
          <w:b/>
          <w:lang w:eastAsia="fr-FR"/>
        </w:rPr>
      </w:pPr>
    </w:p>
    <w:tbl>
      <w:tblPr>
        <w:tblStyle w:val="Grilledutableau"/>
        <w:tblW w:w="0" w:type="auto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9062"/>
      </w:tblGrid>
      <w:tr w:rsidR="00D30073" w:rsidRPr="008A2A96" w:rsidTr="00582A74">
        <w:tc>
          <w:tcPr>
            <w:tcW w:w="9628" w:type="dxa"/>
            <w:shd w:val="clear" w:color="auto" w:fill="4472C4" w:themeFill="accent5"/>
          </w:tcPr>
          <w:p w:rsidR="00D30073" w:rsidRPr="008A2A96" w:rsidRDefault="00D30073" w:rsidP="00582A74">
            <w:pPr>
              <w:rPr>
                <w:b/>
                <w:lang w:eastAsia="fr-FR"/>
              </w:rPr>
            </w:pPr>
            <w:r w:rsidRPr="008A2A96">
              <w:rPr>
                <w:b/>
                <w:color w:val="FFFFFF" w:themeColor="background1"/>
                <w:lang w:eastAsia="fr-FR"/>
              </w:rPr>
              <w:t>MODALITÉS PÉDAGOGIQUES ET ÉDUCATIVES DE REMPLACEMENT DE COURTE DURÉE</w:t>
            </w:r>
          </w:p>
        </w:tc>
      </w:tr>
      <w:tr w:rsidR="00D30073" w:rsidRPr="008A2A96" w:rsidTr="00582A74">
        <w:trPr>
          <w:trHeight w:val="2032"/>
        </w:trPr>
        <w:tc>
          <w:tcPr>
            <w:tcW w:w="9628" w:type="dxa"/>
          </w:tcPr>
          <w:p w:rsidR="00D30073" w:rsidRPr="00D11C4A" w:rsidRDefault="00D30073" w:rsidP="00582A74">
            <w:pPr>
              <w:rPr>
                <w:i/>
                <w:szCs w:val="18"/>
                <w:lang w:eastAsia="fr-FR"/>
              </w:rPr>
            </w:pPr>
            <w:r w:rsidRPr="00D11C4A">
              <w:rPr>
                <w:i/>
                <w:szCs w:val="18"/>
                <w:lang w:eastAsia="fr-FR"/>
              </w:rPr>
              <w:t xml:space="preserve">Lister les ressources pédagogiques disponibles au sein de l’établissement : ressources internes (banque de supports pédagogiques numériques en ligne ou des banques d'exercices/d’activités méthodologiques constituées par les professeurs de l'établissement et mutualisées) et externes (ressources institutionnelles en ligne, le cas échéant dans le cadre de convention avec des partenaires tels que le </w:t>
            </w:r>
            <w:r>
              <w:rPr>
                <w:i/>
                <w:szCs w:val="18"/>
                <w:lang w:eastAsia="fr-FR"/>
              </w:rPr>
              <w:t>Cned</w:t>
            </w:r>
            <w:r w:rsidRPr="00D11C4A">
              <w:rPr>
                <w:i/>
                <w:szCs w:val="18"/>
                <w:lang w:eastAsia="fr-FR"/>
              </w:rPr>
              <w:t>…)</w:t>
            </w:r>
          </w:p>
          <w:p w:rsidR="00D30073" w:rsidRPr="008A2A96" w:rsidRDefault="00D30073" w:rsidP="00582A74">
            <w:pPr>
              <w:rPr>
                <w:b/>
                <w:lang w:eastAsia="fr-FR"/>
              </w:rPr>
            </w:pPr>
          </w:p>
          <w:p w:rsidR="00D30073" w:rsidRPr="008A2A96" w:rsidRDefault="00D30073" w:rsidP="00582A74">
            <w:pPr>
              <w:rPr>
                <w:b/>
                <w:lang w:eastAsia="fr-FR"/>
              </w:rPr>
            </w:pPr>
          </w:p>
          <w:p w:rsidR="00D30073" w:rsidRPr="008A2A96" w:rsidRDefault="00D30073" w:rsidP="00582A74">
            <w:pPr>
              <w:rPr>
                <w:b/>
                <w:lang w:eastAsia="fr-FR"/>
              </w:rPr>
            </w:pPr>
          </w:p>
          <w:p w:rsidR="00D30073" w:rsidRPr="008A2A96" w:rsidRDefault="00D30073" w:rsidP="00582A74">
            <w:pPr>
              <w:rPr>
                <w:b/>
                <w:lang w:eastAsia="fr-FR"/>
              </w:rPr>
            </w:pPr>
          </w:p>
          <w:p w:rsidR="00D30073" w:rsidRPr="008A2A96" w:rsidRDefault="00D30073" w:rsidP="00582A74">
            <w:pPr>
              <w:rPr>
                <w:b/>
                <w:lang w:eastAsia="fr-FR"/>
              </w:rPr>
            </w:pPr>
          </w:p>
          <w:p w:rsidR="00D30073" w:rsidRPr="008A2A96" w:rsidRDefault="00D30073" w:rsidP="00582A74">
            <w:pPr>
              <w:rPr>
                <w:b/>
                <w:lang w:eastAsia="fr-FR"/>
              </w:rPr>
            </w:pPr>
          </w:p>
          <w:p w:rsidR="00D30073" w:rsidRPr="008A2A96" w:rsidRDefault="00D30073" w:rsidP="00582A74">
            <w:pPr>
              <w:rPr>
                <w:b/>
                <w:lang w:eastAsia="fr-FR"/>
              </w:rPr>
            </w:pPr>
          </w:p>
        </w:tc>
      </w:tr>
    </w:tbl>
    <w:p w:rsidR="00D30073" w:rsidRPr="008A2A96" w:rsidRDefault="00D30073" w:rsidP="00D30073">
      <w:pPr>
        <w:rPr>
          <w:b/>
          <w:lang w:eastAsia="fr-FR"/>
        </w:rPr>
      </w:pPr>
    </w:p>
    <w:tbl>
      <w:tblPr>
        <w:tblStyle w:val="Grilledutableau"/>
        <w:tblW w:w="0" w:type="auto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9062"/>
      </w:tblGrid>
      <w:tr w:rsidR="00D30073" w:rsidRPr="008A2A96" w:rsidTr="00582A74">
        <w:tc>
          <w:tcPr>
            <w:tcW w:w="9628" w:type="dxa"/>
            <w:shd w:val="clear" w:color="auto" w:fill="4472C4" w:themeFill="accent5"/>
          </w:tcPr>
          <w:p w:rsidR="00D30073" w:rsidRPr="008A2A96" w:rsidRDefault="00D30073" w:rsidP="00582A74">
            <w:pPr>
              <w:rPr>
                <w:b/>
                <w:lang w:eastAsia="fr-FR"/>
              </w:rPr>
            </w:pPr>
            <w:r w:rsidRPr="008A2A96">
              <w:rPr>
                <w:b/>
                <w:color w:val="FFFFFF" w:themeColor="background1"/>
                <w:lang w:eastAsia="fr-FR"/>
              </w:rPr>
              <w:t>MODALITÉS DE MISE EN ŒUVRE DU REMPLACEMENT</w:t>
            </w:r>
          </w:p>
        </w:tc>
      </w:tr>
      <w:tr w:rsidR="00D30073" w:rsidRPr="008A2A96" w:rsidTr="00582A74">
        <w:trPr>
          <w:trHeight w:val="2292"/>
        </w:trPr>
        <w:tc>
          <w:tcPr>
            <w:tcW w:w="9628" w:type="dxa"/>
          </w:tcPr>
          <w:p w:rsidR="00D30073" w:rsidRPr="00D11C4A" w:rsidRDefault="00D30073" w:rsidP="00582A74">
            <w:pPr>
              <w:rPr>
                <w:i/>
                <w:szCs w:val="18"/>
                <w:lang w:eastAsia="fr-FR"/>
              </w:rPr>
            </w:pPr>
            <w:r w:rsidRPr="00D11C4A">
              <w:rPr>
                <w:i/>
                <w:szCs w:val="18"/>
                <w:lang w:eastAsia="fr-FR"/>
              </w:rPr>
              <w:t xml:space="preserve">Préciser les modalités de mise en œuvre et les actions induites : créneaux horaires, délai de prévenance, mode d’information de l’enseignant mobilisé et toute information propre à la bonne compréhension de l’organisation mise en place au sein de l’établissement… </w:t>
            </w:r>
          </w:p>
          <w:p w:rsidR="00D30073" w:rsidRPr="00D11C4A" w:rsidRDefault="00D30073" w:rsidP="00582A74">
            <w:pPr>
              <w:rPr>
                <w:i/>
                <w:szCs w:val="18"/>
                <w:lang w:eastAsia="fr-FR"/>
              </w:rPr>
            </w:pPr>
            <w:r w:rsidRPr="00D11C4A">
              <w:rPr>
                <w:i/>
                <w:szCs w:val="18"/>
                <w:lang w:eastAsia="fr-FR"/>
              </w:rPr>
              <w:t>Annexer au plan, le « semainier »</w:t>
            </w:r>
            <w:r>
              <w:rPr>
                <w:i/>
                <w:szCs w:val="18"/>
                <w:lang w:eastAsia="fr-FR"/>
              </w:rPr>
              <w:t>, préalablement anonymisé,</w:t>
            </w:r>
            <w:r w:rsidRPr="00D11C4A">
              <w:rPr>
                <w:i/>
                <w:szCs w:val="18"/>
                <w:lang w:eastAsia="fr-FR"/>
              </w:rPr>
              <w:t xml:space="preserve"> reprenant l’ensemble des créneaux hebdomadaires réservés au RCD. Il permet d’avoir une vue globale de la couverture potentielle en fonction des créneaux attribués aux enseignants mobilisés pour le RCD. </w:t>
            </w:r>
          </w:p>
          <w:p w:rsidR="00D30073" w:rsidRPr="00D11C4A" w:rsidRDefault="00D30073" w:rsidP="00582A74">
            <w:pPr>
              <w:rPr>
                <w:i/>
                <w:lang w:eastAsia="fr-FR"/>
              </w:rPr>
            </w:pPr>
          </w:p>
          <w:p w:rsidR="00D30073" w:rsidRPr="00D11C4A" w:rsidRDefault="00D30073" w:rsidP="00582A74">
            <w:pPr>
              <w:rPr>
                <w:i/>
                <w:lang w:eastAsia="fr-FR"/>
              </w:rPr>
            </w:pPr>
          </w:p>
          <w:p w:rsidR="00D30073" w:rsidRPr="008A2A96" w:rsidRDefault="00D30073" w:rsidP="00582A74">
            <w:pPr>
              <w:rPr>
                <w:b/>
                <w:lang w:eastAsia="fr-FR"/>
              </w:rPr>
            </w:pPr>
          </w:p>
          <w:p w:rsidR="00D30073" w:rsidRPr="008A2A96" w:rsidRDefault="00D30073" w:rsidP="00582A74">
            <w:pPr>
              <w:rPr>
                <w:b/>
                <w:lang w:eastAsia="fr-FR"/>
              </w:rPr>
            </w:pPr>
          </w:p>
          <w:p w:rsidR="00D30073" w:rsidRPr="008A2A96" w:rsidRDefault="00D30073" w:rsidP="00582A74">
            <w:pPr>
              <w:rPr>
                <w:b/>
                <w:lang w:eastAsia="fr-FR"/>
              </w:rPr>
            </w:pPr>
          </w:p>
        </w:tc>
      </w:tr>
    </w:tbl>
    <w:p w:rsidR="00D30073" w:rsidRPr="008A2A96" w:rsidRDefault="00D30073" w:rsidP="00D30073">
      <w:pPr>
        <w:rPr>
          <w:b/>
          <w:lang w:eastAsia="fr-FR"/>
        </w:rPr>
      </w:pPr>
    </w:p>
    <w:tbl>
      <w:tblPr>
        <w:tblStyle w:val="Grilledutableau"/>
        <w:tblW w:w="0" w:type="auto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9062"/>
      </w:tblGrid>
      <w:tr w:rsidR="00D30073" w:rsidRPr="008A2A96" w:rsidTr="00582A74">
        <w:tc>
          <w:tcPr>
            <w:tcW w:w="9628" w:type="dxa"/>
            <w:shd w:val="clear" w:color="auto" w:fill="4472C4" w:themeFill="accent5"/>
          </w:tcPr>
          <w:p w:rsidR="00D30073" w:rsidRPr="008A2A96" w:rsidRDefault="00D30073" w:rsidP="00582A74">
            <w:pPr>
              <w:rPr>
                <w:b/>
                <w:lang w:eastAsia="fr-FR"/>
              </w:rPr>
            </w:pPr>
            <w:r w:rsidRPr="008A2A96">
              <w:rPr>
                <w:b/>
                <w:color w:val="FFFFFF" w:themeColor="background1"/>
                <w:lang w:eastAsia="fr-FR"/>
              </w:rPr>
              <w:t xml:space="preserve">MODALITÉS </w:t>
            </w:r>
            <w:r w:rsidRPr="008A2A96">
              <w:rPr>
                <w:rFonts w:cs="Arial"/>
                <w:b/>
                <w:color w:val="FFFFFF" w:themeColor="background1"/>
                <w:lang w:eastAsia="fr-FR"/>
              </w:rPr>
              <w:t>É</w:t>
            </w:r>
            <w:r w:rsidRPr="008A2A96">
              <w:rPr>
                <w:b/>
                <w:color w:val="FFFFFF" w:themeColor="background1"/>
                <w:lang w:eastAsia="fr-FR"/>
              </w:rPr>
              <w:t xml:space="preserve">VALUATION </w:t>
            </w:r>
          </w:p>
        </w:tc>
      </w:tr>
      <w:tr w:rsidR="00D30073" w:rsidRPr="008A2A96" w:rsidTr="00582A74">
        <w:trPr>
          <w:trHeight w:val="3297"/>
        </w:trPr>
        <w:tc>
          <w:tcPr>
            <w:tcW w:w="9628" w:type="dxa"/>
          </w:tcPr>
          <w:p w:rsidR="00D30073" w:rsidRPr="00D11C4A" w:rsidRDefault="00D30073" w:rsidP="00582A74">
            <w:pPr>
              <w:rPr>
                <w:i/>
                <w:szCs w:val="18"/>
                <w:lang w:eastAsia="fr-FR"/>
              </w:rPr>
            </w:pPr>
            <w:r w:rsidRPr="00D11C4A">
              <w:rPr>
                <w:i/>
                <w:szCs w:val="18"/>
                <w:lang w:eastAsia="fr-FR"/>
              </w:rPr>
              <w:t xml:space="preserve">Préciser la période de réalisation (date de mise en place effective du plan, point d’étape et bilan), les critères de réussite et les indicateurs de suivi… </w:t>
            </w:r>
          </w:p>
          <w:p w:rsidR="00D30073" w:rsidRPr="008A2A96" w:rsidRDefault="00D30073" w:rsidP="00582A74">
            <w:pPr>
              <w:rPr>
                <w:i/>
                <w:lang w:eastAsia="fr-FR"/>
              </w:rPr>
            </w:pPr>
          </w:p>
          <w:p w:rsidR="00D30073" w:rsidRPr="008A2A96" w:rsidRDefault="00D30073" w:rsidP="00582A74">
            <w:pPr>
              <w:rPr>
                <w:b/>
                <w:lang w:eastAsia="fr-FR"/>
              </w:rPr>
            </w:pPr>
          </w:p>
        </w:tc>
      </w:tr>
    </w:tbl>
    <w:p w:rsidR="00D30073" w:rsidRPr="008A2A96" w:rsidRDefault="00D30073" w:rsidP="00D30073">
      <w:pPr>
        <w:shd w:val="clear" w:color="auto" w:fill="FFFFFF" w:themeFill="background1"/>
        <w:rPr>
          <w:shd w:val="clear" w:color="auto" w:fill="4472C4" w:themeFill="accent5"/>
        </w:rPr>
      </w:pPr>
    </w:p>
    <w:p w:rsidR="00A32543" w:rsidRDefault="00A32543" w:rsidP="00D30073"/>
    <w:sectPr w:rsidR="00A3254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073" w:rsidRDefault="00D30073" w:rsidP="00D30073">
      <w:pPr>
        <w:spacing w:after="0" w:line="240" w:lineRule="auto"/>
      </w:pPr>
      <w:r>
        <w:separator/>
      </w:r>
    </w:p>
  </w:endnote>
  <w:endnote w:type="continuationSeparator" w:id="0">
    <w:p w:rsidR="00D30073" w:rsidRDefault="00D30073" w:rsidP="00D30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8293526"/>
      <w:docPartObj>
        <w:docPartGallery w:val="Page Numbers (Bottom of Page)"/>
        <w:docPartUnique/>
      </w:docPartObj>
    </w:sdtPr>
    <w:sdtContent>
      <w:p w:rsidR="00D30073" w:rsidRDefault="00D3007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30073" w:rsidRDefault="00D300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073" w:rsidRDefault="00D30073" w:rsidP="00D30073">
      <w:pPr>
        <w:spacing w:after="0" w:line="240" w:lineRule="auto"/>
      </w:pPr>
      <w:r>
        <w:separator/>
      </w:r>
    </w:p>
  </w:footnote>
  <w:footnote w:type="continuationSeparator" w:id="0">
    <w:p w:rsidR="00D30073" w:rsidRDefault="00D30073" w:rsidP="00D30073">
      <w:pPr>
        <w:spacing w:after="0" w:line="240" w:lineRule="auto"/>
      </w:pPr>
      <w:r>
        <w:continuationSeparator/>
      </w:r>
    </w:p>
  </w:footnote>
  <w:footnote w:id="1">
    <w:p w:rsidR="00D30073" w:rsidRPr="009C0AE0" w:rsidRDefault="00D30073" w:rsidP="00D30073">
      <w:pPr>
        <w:pStyle w:val="Notedebasdepage"/>
        <w:rPr>
          <w:sz w:val="16"/>
          <w:szCs w:val="17"/>
        </w:rPr>
      </w:pPr>
      <w:r w:rsidRPr="00F7291F">
        <w:rPr>
          <w:rStyle w:val="Appelnotedebasdep"/>
          <w:sz w:val="17"/>
          <w:szCs w:val="17"/>
        </w:rPr>
        <w:footnoteRef/>
      </w:r>
      <w:r>
        <w:rPr>
          <w:sz w:val="17"/>
          <w:szCs w:val="17"/>
        </w:rPr>
        <w:t xml:space="preserve"> </w:t>
      </w:r>
      <w:r w:rsidRPr="009C0AE0">
        <w:rPr>
          <w:sz w:val="16"/>
          <w:szCs w:val="17"/>
        </w:rPr>
        <w:t>Circulaire du 01-07-2024, paru le 18-07-2024 Simplification du processus et des instruments de pilotage des EPLE</w:t>
      </w:r>
    </w:p>
    <w:p w:rsidR="00D30073" w:rsidRPr="009C0AE0" w:rsidRDefault="00D30073" w:rsidP="00D30073">
      <w:pPr>
        <w:pStyle w:val="Notedebasdepage"/>
        <w:rPr>
          <w:sz w:val="16"/>
          <w:szCs w:val="17"/>
        </w:rPr>
      </w:pPr>
      <w:hyperlink r:id="rId1" w:history="1">
        <w:r w:rsidRPr="009C0AE0">
          <w:rPr>
            <w:rStyle w:val="Lienhypertexte"/>
            <w:sz w:val="16"/>
            <w:szCs w:val="17"/>
          </w:rPr>
          <w:t>https://www.education.gouv.fr/bo/2024/Hebdo29/MENE2417729C</w:t>
        </w:r>
      </w:hyperlink>
    </w:p>
    <w:p w:rsidR="00D30073" w:rsidRPr="00F7291F" w:rsidRDefault="00D30073" w:rsidP="00D30073">
      <w:pPr>
        <w:pStyle w:val="Notedebasdepage"/>
        <w:rPr>
          <w:sz w:val="17"/>
          <w:szCs w:val="17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73"/>
    <w:rsid w:val="00A32543"/>
    <w:rsid w:val="00D3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0B53"/>
  <w15:chartTrackingRefBased/>
  <w15:docId w15:val="{BE915449-303A-450E-BCE5-52B371AA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073"/>
    <w:pPr>
      <w:spacing w:line="245" w:lineRule="auto"/>
    </w:pPr>
    <w:rPr>
      <w:rFonts w:ascii="Marianne" w:hAnsi="Marianne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300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0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tedebasdepage">
    <w:name w:val="footnote text"/>
    <w:basedOn w:val="Normal"/>
    <w:link w:val="NotedebasdepageCar"/>
    <w:uiPriority w:val="99"/>
    <w:unhideWhenUsed/>
    <w:rsid w:val="00D30073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30073"/>
    <w:rPr>
      <w:rFonts w:ascii="Marianne" w:hAnsi="Marianne"/>
      <w:sz w:val="18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30073"/>
    <w:rPr>
      <w:vertAlign w:val="superscript"/>
    </w:rPr>
  </w:style>
  <w:style w:type="table" w:styleId="Grilledutableau">
    <w:name w:val="Table Grid"/>
    <w:basedOn w:val="TableauNormal"/>
    <w:uiPriority w:val="39"/>
    <w:rsid w:val="00D30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3007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30073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30073"/>
    <w:rPr>
      <w:rFonts w:ascii="Marianne" w:hAnsi="Marianne"/>
      <w:sz w:val="18"/>
      <w:szCs w:val="20"/>
    </w:rPr>
  </w:style>
  <w:style w:type="character" w:styleId="Lienhypertexte">
    <w:name w:val="Hyperlink"/>
    <w:basedOn w:val="Policepardfaut"/>
    <w:uiPriority w:val="99"/>
    <w:unhideWhenUsed/>
    <w:rsid w:val="00D30073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007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007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30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0073"/>
    <w:rPr>
      <w:rFonts w:ascii="Marianne" w:hAnsi="Marianne"/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D30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0073"/>
    <w:rPr>
      <w:rFonts w:ascii="Marianne" w:hAnsi="Marianne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ducation.gouv.fr/bo/2024/Hebdo29/MENE2417729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PICOU</dc:creator>
  <cp:keywords/>
  <dc:description/>
  <cp:lastModifiedBy>ISABELLE PICOU</cp:lastModifiedBy>
  <cp:revision>1</cp:revision>
  <dcterms:created xsi:type="dcterms:W3CDTF">2024-08-27T17:05:00Z</dcterms:created>
  <dcterms:modified xsi:type="dcterms:W3CDTF">2024-08-27T17:07:00Z</dcterms:modified>
</cp:coreProperties>
</file>