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E9" w:rsidRDefault="004834E9" w:rsidP="004834E9">
      <w:pPr>
        <w:pStyle w:val="Standard"/>
      </w:pP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sz w:val="32"/>
          <w:szCs w:val="32"/>
        </w:rPr>
      </w:pP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color w:val="FF0000"/>
          <w:sz w:val="32"/>
          <w:szCs w:val="32"/>
        </w:rPr>
      </w:pPr>
      <w:r>
        <w:rPr>
          <w:rFonts w:ascii="Arial" w:hAnsi="Arial" w:cs="Arial"/>
          <w:color w:val="FF0000"/>
          <w:sz w:val="32"/>
          <w:szCs w:val="32"/>
        </w:rPr>
        <w:t>ANNEXE N°...</w:t>
      </w: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sz w:val="32"/>
          <w:szCs w:val="32"/>
        </w:rPr>
      </w:pPr>
      <w:r>
        <w:rPr>
          <w:rFonts w:ascii="Arial" w:hAnsi="Arial" w:cs="Arial"/>
          <w:sz w:val="32"/>
          <w:szCs w:val="32"/>
        </w:rPr>
        <w:t xml:space="preserve"> AU REGLEMENT DE LA CONSULTATION</w:t>
      </w: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sz w:val="32"/>
          <w:szCs w:val="32"/>
        </w:rPr>
      </w:pP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i/>
          <w:sz w:val="32"/>
          <w:szCs w:val="32"/>
        </w:rPr>
      </w:pPr>
      <w:r>
        <w:rPr>
          <w:rFonts w:ascii="Arial" w:hAnsi="Arial" w:cs="Arial"/>
          <w:i/>
          <w:sz w:val="32"/>
          <w:szCs w:val="32"/>
        </w:rPr>
        <w:t xml:space="preserve">Clause sociale de </w:t>
      </w:r>
      <w:r w:rsidR="00784CE8">
        <w:rPr>
          <w:rFonts w:ascii="Arial" w:hAnsi="Arial" w:cs="Arial"/>
          <w:i/>
          <w:sz w:val="32"/>
          <w:szCs w:val="32"/>
        </w:rPr>
        <w:t>formation sous statut scolaire :</w:t>
      </w:r>
      <w:r>
        <w:rPr>
          <w:rFonts w:ascii="Arial" w:hAnsi="Arial" w:cs="Arial"/>
          <w:i/>
          <w:sz w:val="32"/>
          <w:szCs w:val="32"/>
        </w:rPr>
        <w:t xml:space="preserve"> </w:t>
      </w:r>
      <w:r w:rsidR="00784CE8">
        <w:rPr>
          <w:rFonts w:ascii="Arial" w:hAnsi="Arial" w:cs="Arial"/>
          <w:i/>
          <w:sz w:val="32"/>
          <w:szCs w:val="32"/>
        </w:rPr>
        <w:br/>
      </w:r>
      <w:r>
        <w:rPr>
          <w:rFonts w:ascii="Arial" w:hAnsi="Arial" w:cs="Arial"/>
          <w:i/>
          <w:sz w:val="32"/>
          <w:szCs w:val="32"/>
        </w:rPr>
        <w:t>mode d’emploi</w:t>
      </w:r>
    </w:p>
    <w:p w:rsidR="004834E9" w:rsidRDefault="004834E9" w:rsidP="004834E9">
      <w:pPr>
        <w:pStyle w:val="Standard"/>
        <w:pBdr>
          <w:top w:val="single" w:sz="4" w:space="0" w:color="00000A"/>
          <w:left w:val="single" w:sz="4" w:space="0" w:color="00000A"/>
          <w:bottom w:val="single" w:sz="4" w:space="0" w:color="00000A"/>
          <w:right w:val="single" w:sz="4" w:space="0" w:color="00000A"/>
        </w:pBdr>
        <w:jc w:val="center"/>
        <w:rPr>
          <w:rFonts w:ascii="Arial" w:hAnsi="Arial" w:cs="Arial"/>
          <w:sz w:val="32"/>
          <w:szCs w:val="32"/>
        </w:rPr>
      </w:pPr>
    </w:p>
    <w:p w:rsidR="004834E9" w:rsidRDefault="004834E9" w:rsidP="004834E9">
      <w:pPr>
        <w:pStyle w:val="Standard"/>
        <w:jc w:val="both"/>
        <w:rPr>
          <w:rFonts w:ascii="Arial" w:hAnsi="Arial" w:cs="Arial"/>
          <w:b/>
          <w:iCs/>
          <w:sz w:val="20"/>
          <w:szCs w:val="20"/>
          <w:u w:val="single"/>
        </w:rPr>
      </w:pPr>
    </w:p>
    <w:p w:rsidR="003D0F36" w:rsidRDefault="003D0F36"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iCs/>
          <w:sz w:val="20"/>
          <w:szCs w:val="20"/>
        </w:rPr>
        <w:t>L’objectif de la présente clause sociale est de promouvoir la diversité et combattre l’exclusion par la réalisation d’une action participant à la formation de publics rencontrant des difficultés s</w:t>
      </w:r>
      <w:r w:rsidR="00784CE8">
        <w:rPr>
          <w:rFonts w:ascii="Arial" w:hAnsi="Arial" w:cs="Arial"/>
          <w:iCs/>
          <w:sz w:val="20"/>
          <w:szCs w:val="20"/>
        </w:rPr>
        <w:t>colaires, et donc s</w:t>
      </w:r>
      <w:r>
        <w:rPr>
          <w:rFonts w:ascii="Arial" w:hAnsi="Arial" w:cs="Arial"/>
          <w:iCs/>
          <w:sz w:val="20"/>
          <w:szCs w:val="20"/>
        </w:rPr>
        <w:t>ociales ou professionnelles particulières </w:t>
      </w:r>
      <w:r>
        <w:rPr>
          <w:rFonts w:ascii="Arial" w:hAnsi="Arial" w:cs="Arial"/>
          <w:iCs/>
          <w:color w:val="auto"/>
          <w:sz w:val="20"/>
          <w:szCs w:val="20"/>
        </w:rPr>
        <w:t>: il s’agit de jeunes entre 16 et 25 ans d’un niveau de qualification inférieur à celui mentionné à l'article L. 313-7 du code de l'éducation, tel que modifié par le décret</w:t>
      </w:r>
      <w:r w:rsidR="00784CE8">
        <w:rPr>
          <w:rFonts w:ascii="Arial" w:hAnsi="Arial" w:cs="Arial"/>
          <w:iCs/>
          <w:color w:val="auto"/>
          <w:sz w:val="20"/>
          <w:szCs w:val="20"/>
        </w:rPr>
        <w:t xml:space="preserve"> </w:t>
      </w:r>
      <w:r>
        <w:rPr>
          <w:rFonts w:ascii="Arial" w:hAnsi="Arial" w:cs="Arial"/>
          <w:iCs/>
          <w:color w:val="auto"/>
          <w:sz w:val="20"/>
          <w:szCs w:val="20"/>
        </w:rPr>
        <w:t>n° 2010-1781 du 31 décembre 2010.</w:t>
      </w:r>
    </w:p>
    <w:p w:rsidR="004834E9" w:rsidRDefault="004834E9" w:rsidP="004834E9">
      <w:pPr>
        <w:pStyle w:val="Standard"/>
        <w:jc w:val="both"/>
        <w:rPr>
          <w:rFonts w:ascii="Arial" w:hAnsi="Arial" w:cs="Arial"/>
          <w:iCs/>
          <w:sz w:val="20"/>
          <w:szCs w:val="20"/>
        </w:rPr>
      </w:pPr>
    </w:p>
    <w:p w:rsidR="004834E9" w:rsidRPr="006F4305" w:rsidRDefault="004834E9" w:rsidP="004834E9">
      <w:pPr>
        <w:pStyle w:val="Standard"/>
        <w:jc w:val="both"/>
        <w:rPr>
          <w:rFonts w:ascii="Arial" w:hAnsi="Arial" w:cs="Arial"/>
          <w:b/>
          <w:iCs/>
          <w:sz w:val="20"/>
          <w:szCs w:val="20"/>
        </w:rPr>
      </w:pPr>
      <w:r w:rsidRPr="006F4305">
        <w:rPr>
          <w:rFonts w:ascii="Arial" w:hAnsi="Arial" w:cs="Arial"/>
          <w:b/>
          <w:iCs/>
          <w:sz w:val="20"/>
          <w:szCs w:val="20"/>
        </w:rPr>
        <w:t xml:space="preserve">Pour réaliser cette action obligatoire, le </w:t>
      </w:r>
      <w:r w:rsidR="00A50074" w:rsidRPr="00A50074">
        <w:rPr>
          <w:rFonts w:ascii="Arial" w:hAnsi="Arial" w:cs="Arial"/>
          <w:b/>
          <w:iCs/>
          <w:color w:val="FF0000"/>
          <w:sz w:val="20"/>
          <w:szCs w:val="20"/>
        </w:rPr>
        <w:t xml:space="preserve">(nom de l’acheteur) </w:t>
      </w:r>
      <w:r w:rsidRPr="006F4305">
        <w:rPr>
          <w:rFonts w:ascii="Arial" w:hAnsi="Arial" w:cs="Arial"/>
          <w:b/>
          <w:iCs/>
          <w:sz w:val="20"/>
          <w:szCs w:val="20"/>
        </w:rPr>
        <w:t>demande aux candidats de proposer un projet en faveur de jeunes en situation de décrochage scolaire.</w:t>
      </w:r>
    </w:p>
    <w:p w:rsidR="00594274" w:rsidRDefault="00594274" w:rsidP="004834E9">
      <w:pPr>
        <w:pStyle w:val="Standard"/>
        <w:jc w:val="both"/>
        <w:rPr>
          <w:rFonts w:ascii="Arial" w:hAnsi="Arial" w:cs="Arial"/>
          <w:iCs/>
          <w:sz w:val="20"/>
          <w:szCs w:val="20"/>
        </w:rPr>
      </w:pPr>
    </w:p>
    <w:p w:rsidR="00594274" w:rsidRDefault="00594274" w:rsidP="004834E9">
      <w:pPr>
        <w:pStyle w:val="Standard"/>
        <w:jc w:val="both"/>
        <w:rPr>
          <w:rFonts w:ascii="Arial" w:hAnsi="Arial" w:cs="Arial"/>
          <w:iCs/>
          <w:sz w:val="20"/>
          <w:szCs w:val="20"/>
        </w:rPr>
      </w:pPr>
      <w:r>
        <w:rPr>
          <w:rFonts w:ascii="Arial" w:hAnsi="Arial" w:cs="Arial"/>
          <w:iCs/>
          <w:sz w:val="20"/>
          <w:szCs w:val="20"/>
        </w:rPr>
        <w:t xml:space="preserve">En effet, le </w:t>
      </w:r>
      <w:r w:rsidRPr="006F4305">
        <w:rPr>
          <w:rFonts w:ascii="Arial" w:hAnsi="Arial" w:cs="Arial" w:hint="eastAsia"/>
          <w:b/>
          <w:iCs/>
          <w:sz w:val="20"/>
          <w:szCs w:val="20"/>
        </w:rPr>
        <w:t>décrochage scolaire</w:t>
      </w:r>
      <w:r>
        <w:rPr>
          <w:rFonts w:ascii="Arial" w:hAnsi="Arial" w:cs="Arial"/>
          <w:iCs/>
          <w:sz w:val="20"/>
          <w:szCs w:val="20"/>
        </w:rPr>
        <w:t xml:space="preserve"> </w:t>
      </w:r>
      <w:r w:rsidRPr="00594274">
        <w:rPr>
          <w:rFonts w:ascii="Arial" w:hAnsi="Arial" w:cs="Arial" w:hint="eastAsia"/>
          <w:iCs/>
          <w:sz w:val="20"/>
          <w:szCs w:val="20"/>
        </w:rPr>
        <w:t>constitue un p</w:t>
      </w:r>
      <w:r>
        <w:rPr>
          <w:rFonts w:ascii="Arial" w:hAnsi="Arial" w:cs="Arial"/>
          <w:iCs/>
          <w:sz w:val="20"/>
          <w:szCs w:val="20"/>
        </w:rPr>
        <w:t xml:space="preserve">hénomène </w:t>
      </w:r>
      <w:r w:rsidRPr="00594274">
        <w:rPr>
          <w:rFonts w:ascii="Arial" w:hAnsi="Arial" w:cs="Arial" w:hint="eastAsia"/>
          <w:iCs/>
          <w:sz w:val="20"/>
          <w:szCs w:val="20"/>
        </w:rPr>
        <w:t>grave</w:t>
      </w:r>
      <w:r w:rsidR="00DC2E58">
        <w:rPr>
          <w:rFonts w:ascii="Arial" w:hAnsi="Arial" w:cs="Arial"/>
          <w:iCs/>
          <w:sz w:val="20"/>
          <w:szCs w:val="20"/>
        </w:rPr>
        <w:t xml:space="preserve">, </w:t>
      </w:r>
      <w:r w:rsidRPr="00594274">
        <w:rPr>
          <w:rFonts w:ascii="Arial" w:hAnsi="Arial" w:cs="Arial" w:hint="eastAsia"/>
          <w:iCs/>
          <w:sz w:val="20"/>
          <w:szCs w:val="20"/>
        </w:rPr>
        <w:t>tant pour les personnes concernées que pour l'ensemble de la société</w:t>
      </w:r>
      <w:r w:rsidR="00DC2E58">
        <w:rPr>
          <w:rFonts w:ascii="Arial" w:hAnsi="Arial" w:cs="Arial"/>
          <w:iCs/>
          <w:sz w:val="20"/>
          <w:szCs w:val="20"/>
        </w:rPr>
        <w:t xml:space="preserve">. Il s’agit d’un </w:t>
      </w:r>
      <w:r w:rsidR="00DC2E58" w:rsidRPr="00DC2E58">
        <w:rPr>
          <w:rFonts w:ascii="Arial" w:hAnsi="Arial" w:cs="Arial" w:hint="eastAsia"/>
          <w:iCs/>
          <w:sz w:val="20"/>
          <w:szCs w:val="20"/>
        </w:rPr>
        <w:t>enjeu majeur pour la cohésion sociale et l'équité du système éducatif</w:t>
      </w:r>
      <w:r w:rsidR="00DC2E58">
        <w:rPr>
          <w:rFonts w:ascii="Arial" w:hAnsi="Arial" w:cs="Arial"/>
          <w:iCs/>
          <w:sz w:val="20"/>
          <w:szCs w:val="20"/>
        </w:rPr>
        <w:t xml:space="preserve">, qui requiert la </w:t>
      </w:r>
      <w:r w:rsidR="00DC2E58" w:rsidRPr="00DC2E58">
        <w:rPr>
          <w:rFonts w:ascii="Arial" w:hAnsi="Arial" w:cs="Arial" w:hint="eastAsia"/>
          <w:iCs/>
          <w:sz w:val="20"/>
          <w:szCs w:val="20"/>
        </w:rPr>
        <w:t>mobilisation de toute la communauté éducative</w:t>
      </w:r>
      <w:r w:rsidR="006F4305">
        <w:rPr>
          <w:rFonts w:ascii="Arial" w:hAnsi="Arial" w:cs="Arial"/>
          <w:iCs/>
          <w:sz w:val="20"/>
          <w:szCs w:val="20"/>
        </w:rPr>
        <w:t>,</w:t>
      </w:r>
      <w:r w:rsidR="00DC2E58" w:rsidRPr="00DC2E58">
        <w:rPr>
          <w:rFonts w:ascii="Arial" w:hAnsi="Arial" w:cs="Arial" w:hint="eastAsia"/>
          <w:iCs/>
          <w:sz w:val="20"/>
          <w:szCs w:val="20"/>
        </w:rPr>
        <w:t xml:space="preserve"> en lien avec les représentants du monde professionnel</w:t>
      </w:r>
      <w:r w:rsidR="00DC2E58">
        <w:rPr>
          <w:rFonts w:ascii="Arial" w:hAnsi="Arial" w:cs="Arial"/>
          <w:iCs/>
          <w:sz w:val="20"/>
          <w:szCs w:val="20"/>
        </w:rPr>
        <w:t>.</w:t>
      </w:r>
      <w:r w:rsidR="00A50074">
        <w:rPr>
          <w:rFonts w:ascii="Arial" w:hAnsi="Arial" w:cs="Arial"/>
          <w:iCs/>
          <w:sz w:val="20"/>
          <w:szCs w:val="20"/>
        </w:rPr>
        <w:t xml:space="preserve"> D</w:t>
      </w:r>
      <w:r w:rsidR="00DC2E58">
        <w:rPr>
          <w:rFonts w:ascii="Arial" w:hAnsi="Arial" w:cs="Arial"/>
          <w:iCs/>
          <w:sz w:val="20"/>
          <w:szCs w:val="20"/>
        </w:rPr>
        <w:t>e plus, le décrochage scolaire constitue un</w:t>
      </w:r>
      <w:r w:rsidRPr="00594274">
        <w:rPr>
          <w:rFonts w:ascii="Arial" w:hAnsi="Arial" w:cs="Arial" w:hint="eastAsia"/>
          <w:iCs/>
          <w:sz w:val="20"/>
          <w:szCs w:val="20"/>
        </w:rPr>
        <w:t xml:space="preserve"> obstacle </w:t>
      </w:r>
      <w:r w:rsidR="00A50074">
        <w:rPr>
          <w:rFonts w:ascii="Arial" w:hAnsi="Arial" w:cs="Arial"/>
          <w:iCs/>
          <w:sz w:val="20"/>
          <w:szCs w:val="20"/>
        </w:rPr>
        <w:t xml:space="preserve">majeur </w:t>
      </w:r>
      <w:r w:rsidRPr="00594274">
        <w:rPr>
          <w:rFonts w:ascii="Arial" w:hAnsi="Arial" w:cs="Arial" w:hint="eastAsia"/>
          <w:iCs/>
          <w:sz w:val="20"/>
          <w:szCs w:val="20"/>
        </w:rPr>
        <w:t xml:space="preserve">à la réalisation de la </w:t>
      </w:r>
      <w:r>
        <w:rPr>
          <w:rFonts w:ascii="Arial" w:hAnsi="Arial" w:cs="Arial"/>
          <w:iCs/>
          <w:sz w:val="20"/>
          <w:szCs w:val="20"/>
        </w:rPr>
        <w:t>« </w:t>
      </w:r>
      <w:r w:rsidRPr="00594274">
        <w:rPr>
          <w:rFonts w:ascii="Arial" w:hAnsi="Arial" w:cs="Arial" w:hint="eastAsia"/>
          <w:iCs/>
          <w:sz w:val="20"/>
          <w:szCs w:val="20"/>
        </w:rPr>
        <w:t>stratégie Europe 2020</w:t>
      </w:r>
      <w:r>
        <w:rPr>
          <w:rFonts w:ascii="Arial" w:hAnsi="Arial" w:cs="Arial"/>
          <w:iCs/>
          <w:sz w:val="20"/>
          <w:szCs w:val="20"/>
        </w:rPr>
        <w:t xml:space="preserve"> », </w:t>
      </w:r>
      <w:r w:rsidRPr="00594274">
        <w:rPr>
          <w:rFonts w:ascii="Arial" w:hAnsi="Arial" w:cs="Arial"/>
          <w:iCs/>
          <w:sz w:val="20"/>
          <w:szCs w:val="20"/>
        </w:rPr>
        <w:t>stratégie commune aux institutions de l'Union européenne, aux États membres et aux partenaires sociaux.</w:t>
      </w:r>
    </w:p>
    <w:p w:rsidR="004834E9" w:rsidRDefault="004834E9" w:rsidP="004834E9">
      <w:pPr>
        <w:pStyle w:val="Standard"/>
        <w:jc w:val="both"/>
        <w:rPr>
          <w:rFonts w:ascii="Arial" w:hAnsi="Arial" w:cs="Arial"/>
          <w:iCs/>
          <w:sz w:val="20"/>
          <w:szCs w:val="20"/>
        </w:rPr>
      </w:pPr>
    </w:p>
    <w:p w:rsidR="006F4305" w:rsidRDefault="006F4305" w:rsidP="004834E9">
      <w:pPr>
        <w:pStyle w:val="Standard"/>
        <w:jc w:val="both"/>
        <w:rPr>
          <w:rFonts w:ascii="Arial" w:hAnsi="Arial" w:cs="Arial"/>
          <w:iCs/>
          <w:sz w:val="20"/>
          <w:szCs w:val="20"/>
        </w:rPr>
      </w:pPr>
    </w:p>
    <w:p w:rsidR="004834E9" w:rsidRPr="00BF01A2" w:rsidRDefault="004834E9" w:rsidP="004834E9">
      <w:pPr>
        <w:pStyle w:val="Standard"/>
        <w:numPr>
          <w:ilvl w:val="1"/>
          <w:numId w:val="1"/>
        </w:numPr>
        <w:tabs>
          <w:tab w:val="left" w:pos="2160"/>
        </w:tabs>
        <w:ind w:left="1440" w:hanging="360"/>
        <w:jc w:val="both"/>
        <w:rPr>
          <w:rFonts w:ascii="Arial" w:hAnsi="Arial" w:cs="Arial"/>
          <w:i/>
          <w:iCs/>
          <w:sz w:val="22"/>
          <w:szCs w:val="22"/>
        </w:rPr>
      </w:pPr>
      <w:r w:rsidRPr="00BF01A2">
        <w:rPr>
          <w:rFonts w:ascii="Arial" w:hAnsi="Arial" w:cs="Arial"/>
          <w:i/>
          <w:iCs/>
          <w:sz w:val="22"/>
          <w:szCs w:val="22"/>
        </w:rPr>
        <w:t>Contexte :</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iCs/>
          <w:sz w:val="20"/>
          <w:szCs w:val="20"/>
        </w:rPr>
        <w:t xml:space="preserve">Le </w:t>
      </w:r>
      <w:r w:rsidR="00A61816">
        <w:rPr>
          <w:rFonts w:ascii="Arial" w:hAnsi="Arial" w:cs="Arial"/>
          <w:iCs/>
          <w:sz w:val="20"/>
          <w:szCs w:val="20"/>
        </w:rPr>
        <w:t>(</w:t>
      </w:r>
      <w:r w:rsidR="00A61816" w:rsidRPr="00A61816">
        <w:rPr>
          <w:rFonts w:ascii="Arial" w:hAnsi="Arial" w:cs="Arial"/>
          <w:iCs/>
          <w:color w:val="FF0000"/>
          <w:sz w:val="20"/>
          <w:szCs w:val="20"/>
        </w:rPr>
        <w:t>nom de l’acheteur)</w:t>
      </w:r>
      <w:r w:rsidR="00A61816">
        <w:rPr>
          <w:rFonts w:ascii="Arial" w:hAnsi="Arial" w:cs="Arial"/>
          <w:iCs/>
          <w:color w:val="FF0000"/>
          <w:sz w:val="20"/>
          <w:szCs w:val="20"/>
        </w:rPr>
        <w:t xml:space="preserve"> </w:t>
      </w:r>
      <w:r>
        <w:rPr>
          <w:rFonts w:ascii="Arial" w:hAnsi="Arial" w:cs="Arial"/>
          <w:iCs/>
          <w:sz w:val="20"/>
          <w:szCs w:val="20"/>
        </w:rPr>
        <w:t>propose aux soumissionnaires de participer à une action de remobilisation et de formation, destinée à permettre la reprise de scolarité et/ou l’accès à l’emploi de jeunes en situation de décrochage scolaire.</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iCs/>
          <w:sz w:val="20"/>
          <w:szCs w:val="20"/>
        </w:rPr>
        <w:t>Cette action est accompagnée par la « Mission de lutte contre le décrochage scolaire » (MLDS – anciennement Mission Générale d’Insertion)</w:t>
      </w:r>
      <w:r w:rsidR="00A61816">
        <w:rPr>
          <w:rFonts w:ascii="Arial" w:hAnsi="Arial" w:cs="Arial"/>
          <w:iCs/>
          <w:sz w:val="20"/>
          <w:szCs w:val="20"/>
        </w:rPr>
        <w:t xml:space="preserve"> du ministère chargé de l’Education nationale</w:t>
      </w:r>
      <w:r>
        <w:rPr>
          <w:rFonts w:ascii="Arial" w:hAnsi="Arial" w:cs="Arial"/>
          <w:iCs/>
          <w:sz w:val="20"/>
          <w:szCs w:val="20"/>
        </w:rPr>
        <w:t>, qui participe à l’animation et au pilotage des plates-formes de suivi et d’appui aux jeunes décrocheurs. C</w:t>
      </w:r>
      <w:r>
        <w:rPr>
          <w:rFonts w:ascii="Arial" w:hAnsi="Arial" w:cs="Arial"/>
          <w:iCs/>
          <w:color w:val="auto"/>
          <w:sz w:val="20"/>
          <w:szCs w:val="20"/>
        </w:rPr>
        <w:t>es plates-formes ont é</w:t>
      </w:r>
      <w:r>
        <w:rPr>
          <w:rFonts w:ascii="Arial" w:hAnsi="Arial" w:cs="Arial"/>
          <w:iCs/>
          <w:sz w:val="20"/>
          <w:szCs w:val="20"/>
        </w:rPr>
        <w:t>té mises en place sur l’ensemble du territoire national, en application de la circulaire interministérielle du 9 février 2011 (n°2011-028).</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rPr>
          <w:rFonts w:ascii="Arial" w:hAnsi="Arial" w:cs="Arial"/>
          <w:iCs/>
          <w:sz w:val="20"/>
          <w:szCs w:val="20"/>
        </w:rPr>
      </w:pPr>
      <w:r>
        <w:rPr>
          <w:rFonts w:ascii="Arial" w:hAnsi="Arial" w:cs="Arial"/>
          <w:iCs/>
          <w:sz w:val="20"/>
          <w:szCs w:val="20"/>
        </w:rPr>
        <w:t xml:space="preserve">Le bénéficiaire de la clause sociale est un jeune en situation de décrochage scolaire, c’est-à-dire qu’il s’agit d’une personne </w:t>
      </w:r>
      <w:r w:rsidR="00A61816">
        <w:rPr>
          <w:rFonts w:ascii="Arial" w:hAnsi="Arial" w:cs="Arial"/>
          <w:iCs/>
          <w:sz w:val="20"/>
          <w:szCs w:val="20"/>
        </w:rPr>
        <w:t xml:space="preserve">ayant </w:t>
      </w:r>
      <w:r>
        <w:rPr>
          <w:rFonts w:ascii="Arial" w:hAnsi="Arial" w:cs="Arial"/>
          <w:iCs/>
          <w:sz w:val="20"/>
          <w:szCs w:val="20"/>
        </w:rPr>
        <w:t>quitté le système éducatif. Est notamment considéré en situation de décrochage scolaire tout jeune qui abandonne un système de formation initiale sans avoir le niveau de qualification minimum requis fixé par le décret n° 2010-1781 du 31 décembre 2010. Il s’agit soit du baccalauréat général, soit d’un diplôme à finalité professionnelle enregistré au répertoire national des certifications.</w:t>
      </w:r>
    </w:p>
    <w:p w:rsidR="004834E9" w:rsidRDefault="004834E9" w:rsidP="004834E9">
      <w:pPr>
        <w:pStyle w:val="Standard"/>
        <w:jc w:val="both"/>
        <w:rPr>
          <w:rFonts w:ascii="Arial" w:hAnsi="Arial" w:cs="Arial"/>
          <w:iCs/>
          <w:sz w:val="20"/>
          <w:szCs w:val="20"/>
        </w:rPr>
      </w:pPr>
    </w:p>
    <w:p w:rsidR="007D7C4D" w:rsidRDefault="007D7C4D" w:rsidP="004834E9">
      <w:pPr>
        <w:pStyle w:val="Standard"/>
        <w:jc w:val="both"/>
        <w:rPr>
          <w:rFonts w:ascii="Arial" w:hAnsi="Arial" w:cs="Arial"/>
          <w:iCs/>
          <w:sz w:val="20"/>
          <w:szCs w:val="20"/>
        </w:rPr>
      </w:pPr>
      <w:r w:rsidRPr="007D7C4D">
        <w:rPr>
          <w:rFonts w:ascii="Arial" w:hAnsi="Arial" w:cs="Arial" w:hint="eastAsia"/>
          <w:iCs/>
          <w:sz w:val="20"/>
          <w:szCs w:val="20"/>
        </w:rPr>
        <w:t xml:space="preserve">Grâce à ce dispositif de clause sociale, le jeune bénéficiaire peut réaliser un parcours d'entreprise en vue d'une </w:t>
      </w:r>
      <w:proofErr w:type="spellStart"/>
      <w:r w:rsidRPr="007D7C4D">
        <w:rPr>
          <w:rFonts w:ascii="Arial" w:hAnsi="Arial" w:cs="Arial" w:hint="eastAsia"/>
          <w:iCs/>
          <w:sz w:val="20"/>
          <w:szCs w:val="20"/>
        </w:rPr>
        <w:t>rescolarisation</w:t>
      </w:r>
      <w:proofErr w:type="spellEnd"/>
      <w:r w:rsidRPr="007D7C4D">
        <w:rPr>
          <w:rFonts w:ascii="Arial" w:hAnsi="Arial" w:cs="Arial" w:hint="eastAsia"/>
          <w:iCs/>
          <w:sz w:val="20"/>
          <w:szCs w:val="20"/>
        </w:rPr>
        <w:t>. Agé de 16 à 25 ans, il a été repéré par la plate-forme de suivi et d'appui aux jeunes décrocheurs et bénéficie à nouveau d'un statut scolaire.</w:t>
      </w:r>
    </w:p>
    <w:p w:rsidR="007D7C4D" w:rsidRDefault="007D7C4D"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iCs/>
          <w:sz w:val="20"/>
          <w:szCs w:val="20"/>
        </w:rPr>
        <w:lastRenderedPageBreak/>
        <w:t xml:space="preserve">La clause sociale prévue au présent marché s’inscrit </w:t>
      </w:r>
      <w:r w:rsidR="00B34C95">
        <w:rPr>
          <w:rFonts w:ascii="Arial" w:hAnsi="Arial" w:cs="Arial"/>
          <w:iCs/>
          <w:sz w:val="20"/>
          <w:szCs w:val="20"/>
        </w:rPr>
        <w:t xml:space="preserve">donc </w:t>
      </w:r>
      <w:r>
        <w:rPr>
          <w:rFonts w:ascii="Arial" w:hAnsi="Arial" w:cs="Arial"/>
          <w:iCs/>
          <w:sz w:val="20"/>
          <w:szCs w:val="20"/>
        </w:rPr>
        <w:t>dans le cadre du parcours d</w:t>
      </w:r>
      <w:r w:rsidR="00B34C95">
        <w:rPr>
          <w:rFonts w:ascii="Arial" w:hAnsi="Arial" w:cs="Arial"/>
          <w:iCs/>
          <w:sz w:val="20"/>
          <w:szCs w:val="20"/>
        </w:rPr>
        <w:t xml:space="preserve">’un </w:t>
      </w:r>
      <w:r>
        <w:rPr>
          <w:rFonts w:ascii="Arial" w:hAnsi="Arial" w:cs="Arial"/>
          <w:iCs/>
          <w:sz w:val="20"/>
          <w:szCs w:val="20"/>
        </w:rPr>
        <w:t>jeune en situation de décrochage scolaire. Pendant son parcours, le jeun</w:t>
      </w:r>
      <w:r>
        <w:rPr>
          <w:rFonts w:ascii="Arial" w:hAnsi="Arial" w:cs="Arial"/>
          <w:iCs/>
          <w:color w:val="auto"/>
          <w:sz w:val="20"/>
          <w:szCs w:val="20"/>
        </w:rPr>
        <w:t xml:space="preserve">e acquiert une </w:t>
      </w:r>
      <w:r>
        <w:rPr>
          <w:rFonts w:ascii="Arial" w:hAnsi="Arial" w:cs="Arial"/>
          <w:iCs/>
          <w:sz w:val="20"/>
          <w:szCs w:val="20"/>
        </w:rPr>
        <w:t>expérience significative en entreprise, lui permettant de construire un projet professionnel.</w:t>
      </w:r>
    </w:p>
    <w:p w:rsidR="004834E9" w:rsidRDefault="004834E9" w:rsidP="004834E9">
      <w:pPr>
        <w:pStyle w:val="Standard"/>
        <w:jc w:val="both"/>
        <w:rPr>
          <w:rFonts w:ascii="Arial" w:hAnsi="Arial" w:cs="Arial"/>
          <w:iCs/>
          <w:sz w:val="20"/>
          <w:szCs w:val="20"/>
        </w:rPr>
      </w:pPr>
    </w:p>
    <w:p w:rsidR="004834E9" w:rsidRPr="00505664" w:rsidRDefault="004834E9" w:rsidP="004834E9">
      <w:pPr>
        <w:pStyle w:val="Standard"/>
        <w:jc w:val="both"/>
        <w:rPr>
          <w:color w:val="auto"/>
        </w:rPr>
      </w:pPr>
      <w:r>
        <w:rPr>
          <w:rFonts w:ascii="Arial" w:hAnsi="Arial" w:cs="Arial"/>
          <w:iCs/>
          <w:sz w:val="20"/>
          <w:szCs w:val="20"/>
        </w:rPr>
        <w:t xml:space="preserve">D’une </w:t>
      </w:r>
      <w:r w:rsidRPr="00505664">
        <w:rPr>
          <w:rFonts w:ascii="Arial" w:hAnsi="Arial" w:cs="Arial"/>
          <w:iCs/>
          <w:color w:val="auto"/>
          <w:sz w:val="20"/>
          <w:szCs w:val="20"/>
        </w:rPr>
        <w:t>durée maximale de 6 mois (= 900 heures), chaque parcours peut se décomposer comme suit :</w:t>
      </w:r>
    </w:p>
    <w:p w:rsidR="004834E9" w:rsidRPr="00505664" w:rsidRDefault="004834E9" w:rsidP="004834E9">
      <w:pPr>
        <w:pStyle w:val="Standard"/>
        <w:numPr>
          <w:ilvl w:val="0"/>
          <w:numId w:val="3"/>
        </w:numPr>
        <w:jc w:val="both"/>
        <w:rPr>
          <w:rFonts w:ascii="Arial" w:hAnsi="Arial" w:cs="Arial"/>
          <w:iCs/>
          <w:color w:val="auto"/>
          <w:sz w:val="20"/>
          <w:szCs w:val="20"/>
        </w:rPr>
      </w:pPr>
      <w:r w:rsidRPr="00505664">
        <w:rPr>
          <w:rFonts w:ascii="Arial" w:hAnsi="Arial" w:cs="Arial"/>
          <w:iCs/>
          <w:color w:val="auto"/>
          <w:sz w:val="20"/>
          <w:szCs w:val="20"/>
        </w:rPr>
        <w:t>une phase de découverte du monde de l'entreprise (1 mois = 150 heures),</w:t>
      </w:r>
    </w:p>
    <w:p w:rsidR="004834E9" w:rsidRPr="00505664" w:rsidRDefault="004834E9" w:rsidP="004834E9">
      <w:pPr>
        <w:pStyle w:val="Standard"/>
        <w:numPr>
          <w:ilvl w:val="0"/>
          <w:numId w:val="3"/>
        </w:numPr>
        <w:jc w:val="both"/>
        <w:rPr>
          <w:rFonts w:ascii="Arial" w:hAnsi="Arial" w:cs="Arial"/>
          <w:iCs/>
          <w:color w:val="auto"/>
          <w:sz w:val="20"/>
          <w:szCs w:val="20"/>
        </w:rPr>
      </w:pPr>
      <w:r w:rsidRPr="00505664">
        <w:rPr>
          <w:rFonts w:ascii="Arial" w:hAnsi="Arial" w:cs="Arial"/>
          <w:iCs/>
          <w:color w:val="auto"/>
          <w:sz w:val="20"/>
          <w:szCs w:val="20"/>
        </w:rPr>
        <w:t>une phase de définition d’un projet professionnel (2 mois = 300 heures),</w:t>
      </w:r>
    </w:p>
    <w:p w:rsidR="004834E9" w:rsidRPr="00505664" w:rsidRDefault="004834E9" w:rsidP="004834E9">
      <w:pPr>
        <w:pStyle w:val="Standard"/>
        <w:numPr>
          <w:ilvl w:val="0"/>
          <w:numId w:val="3"/>
        </w:numPr>
        <w:jc w:val="both"/>
        <w:rPr>
          <w:rFonts w:ascii="Arial" w:hAnsi="Arial" w:cs="Arial"/>
          <w:iCs/>
          <w:color w:val="auto"/>
          <w:sz w:val="20"/>
          <w:szCs w:val="20"/>
        </w:rPr>
      </w:pPr>
      <w:r w:rsidRPr="00505664">
        <w:rPr>
          <w:rFonts w:ascii="Arial" w:hAnsi="Arial" w:cs="Arial"/>
          <w:iCs/>
          <w:color w:val="auto"/>
          <w:sz w:val="20"/>
          <w:szCs w:val="20"/>
        </w:rPr>
        <w:t>une phase de confirmation de ce projet (3 mois = 450 heures).</w:t>
      </w:r>
    </w:p>
    <w:p w:rsidR="004834E9" w:rsidRDefault="004834E9" w:rsidP="004834E9">
      <w:pPr>
        <w:pStyle w:val="Standard"/>
        <w:jc w:val="both"/>
        <w:rPr>
          <w:rFonts w:ascii="Arial" w:hAnsi="Arial" w:cs="Arial"/>
          <w:iCs/>
          <w:sz w:val="20"/>
          <w:szCs w:val="20"/>
        </w:rPr>
      </w:pPr>
    </w:p>
    <w:p w:rsidR="00A604C2" w:rsidRPr="00A604C2" w:rsidRDefault="00A604C2" w:rsidP="00A604C2">
      <w:pPr>
        <w:widowControl/>
        <w:suppressAutoHyphens w:val="0"/>
        <w:autoSpaceDN/>
        <w:jc w:val="both"/>
        <w:textAlignment w:val="auto"/>
        <w:rPr>
          <w:rFonts w:ascii="Arial" w:eastAsia="Times New Roman" w:hAnsi="Arial" w:cs="Arial"/>
          <w:iCs/>
          <w:kern w:val="0"/>
          <w:sz w:val="20"/>
          <w:szCs w:val="20"/>
          <w:lang w:eastAsia="fr-FR" w:bidi="ar-SA"/>
        </w:rPr>
      </w:pPr>
      <w:r w:rsidRPr="00A604C2">
        <w:rPr>
          <w:rFonts w:ascii="Arial" w:eastAsia="Times New Roman" w:hAnsi="Arial" w:cs="Arial"/>
          <w:iCs/>
          <w:kern w:val="0"/>
          <w:sz w:val="20"/>
          <w:szCs w:val="20"/>
          <w:lang w:eastAsia="fr-FR" w:bidi="ar-SA"/>
        </w:rPr>
        <w:t xml:space="preserve">L’entrée du jeune bénéficiaire de la clause sociale en entreprise nécessite la conclusion d'une convention de stage tripartite entre le titulaire du marché, le jeune </w:t>
      </w:r>
      <w:r>
        <w:rPr>
          <w:rFonts w:ascii="Arial" w:eastAsia="Times New Roman" w:hAnsi="Arial" w:cs="Arial"/>
          <w:iCs/>
          <w:kern w:val="0"/>
          <w:sz w:val="20"/>
          <w:szCs w:val="20"/>
          <w:lang w:eastAsia="fr-FR" w:bidi="ar-SA"/>
        </w:rPr>
        <w:t xml:space="preserve">(ou son représentant légal) </w:t>
      </w:r>
      <w:r w:rsidRPr="00A604C2">
        <w:rPr>
          <w:rFonts w:ascii="Arial" w:eastAsia="Times New Roman" w:hAnsi="Arial" w:cs="Arial"/>
          <w:iCs/>
          <w:kern w:val="0"/>
          <w:sz w:val="20"/>
          <w:szCs w:val="20"/>
          <w:lang w:eastAsia="fr-FR" w:bidi="ar-SA"/>
        </w:rPr>
        <w:t xml:space="preserve">et </w:t>
      </w:r>
      <w:r>
        <w:rPr>
          <w:rFonts w:ascii="Arial" w:eastAsia="Times New Roman" w:hAnsi="Arial" w:cs="Arial"/>
          <w:iCs/>
          <w:kern w:val="0"/>
          <w:sz w:val="20"/>
          <w:szCs w:val="20"/>
          <w:lang w:eastAsia="fr-FR" w:bidi="ar-SA"/>
        </w:rPr>
        <w:t xml:space="preserve">la MLDS (ou un </w:t>
      </w:r>
      <w:r w:rsidRPr="00A604C2">
        <w:rPr>
          <w:rFonts w:ascii="Arial" w:eastAsia="Times New Roman" w:hAnsi="Arial" w:cs="Arial"/>
          <w:iCs/>
          <w:kern w:val="0"/>
          <w:sz w:val="20"/>
          <w:szCs w:val="20"/>
          <w:lang w:eastAsia="fr-FR" w:bidi="ar-SA"/>
        </w:rPr>
        <w:t>établissement scolaire de rattachement</w:t>
      </w:r>
      <w:r>
        <w:rPr>
          <w:rFonts w:ascii="Arial" w:eastAsia="Times New Roman" w:hAnsi="Arial" w:cs="Arial"/>
          <w:iCs/>
          <w:kern w:val="0"/>
          <w:sz w:val="20"/>
          <w:szCs w:val="20"/>
          <w:lang w:eastAsia="fr-FR" w:bidi="ar-SA"/>
        </w:rPr>
        <w:t>)</w:t>
      </w:r>
      <w:r w:rsidRPr="00A604C2">
        <w:rPr>
          <w:rFonts w:ascii="Arial" w:eastAsia="Times New Roman" w:hAnsi="Arial" w:cs="Arial"/>
          <w:iCs/>
          <w:kern w:val="0"/>
          <w:sz w:val="20"/>
          <w:szCs w:val="20"/>
          <w:lang w:eastAsia="fr-FR" w:bidi="ar-SA"/>
        </w:rPr>
        <w:t>.</w:t>
      </w:r>
    </w:p>
    <w:p w:rsidR="00A604C2" w:rsidRPr="00A604C2" w:rsidRDefault="00A604C2" w:rsidP="00A604C2">
      <w:pPr>
        <w:widowControl/>
        <w:suppressAutoHyphens w:val="0"/>
        <w:autoSpaceDN/>
        <w:jc w:val="both"/>
        <w:textAlignment w:val="auto"/>
        <w:rPr>
          <w:rFonts w:ascii="Arial" w:eastAsia="Times New Roman" w:hAnsi="Arial" w:cs="Arial"/>
          <w:iCs/>
          <w:kern w:val="0"/>
          <w:sz w:val="20"/>
          <w:szCs w:val="20"/>
          <w:lang w:eastAsia="fr-FR" w:bidi="ar-SA"/>
        </w:rPr>
      </w:pPr>
    </w:p>
    <w:p w:rsidR="00A604C2" w:rsidRPr="00A61816" w:rsidRDefault="00A604C2" w:rsidP="00A604C2">
      <w:pPr>
        <w:widowControl/>
        <w:suppressAutoHyphens w:val="0"/>
        <w:autoSpaceDN/>
        <w:jc w:val="both"/>
        <w:textAlignment w:val="auto"/>
        <w:rPr>
          <w:rFonts w:ascii="Arial" w:eastAsia="Times New Roman" w:hAnsi="Arial" w:cs="Arial"/>
          <w:b/>
          <w:iCs/>
          <w:kern w:val="0"/>
          <w:sz w:val="20"/>
          <w:szCs w:val="20"/>
          <w:lang w:eastAsia="fr-FR" w:bidi="ar-SA"/>
        </w:rPr>
      </w:pPr>
      <w:r w:rsidRPr="00A61816">
        <w:rPr>
          <w:rFonts w:ascii="Arial" w:eastAsia="Times New Roman" w:hAnsi="Arial" w:cs="Arial"/>
          <w:b/>
          <w:iCs/>
          <w:kern w:val="0"/>
          <w:sz w:val="20"/>
          <w:szCs w:val="20"/>
          <w:lang w:eastAsia="fr-FR" w:bidi="ar-SA"/>
        </w:rPr>
        <w:t>La clause sociale prévue au présent marché permet de réaliser la totalité ou une partie d’un parcours en entreprise d’un jeune en situation de décrochage scolaire.</w:t>
      </w:r>
    </w:p>
    <w:p w:rsidR="004834E9" w:rsidRDefault="004834E9" w:rsidP="004834E9">
      <w:pPr>
        <w:pStyle w:val="Standard"/>
        <w:jc w:val="both"/>
        <w:rPr>
          <w:rFonts w:ascii="Arial" w:hAnsi="Arial" w:cs="Arial"/>
          <w:b/>
          <w:iCs/>
          <w:sz w:val="20"/>
          <w:szCs w:val="20"/>
        </w:rPr>
      </w:pPr>
    </w:p>
    <w:p w:rsidR="004834E9" w:rsidRDefault="004834E9" w:rsidP="004834E9">
      <w:pPr>
        <w:pStyle w:val="Standard"/>
        <w:jc w:val="both"/>
        <w:rPr>
          <w:rFonts w:ascii="Arial" w:hAnsi="Arial" w:cs="Arial"/>
          <w:b/>
          <w:iCs/>
          <w:sz w:val="20"/>
          <w:szCs w:val="20"/>
        </w:rPr>
      </w:pPr>
    </w:p>
    <w:p w:rsidR="004834E9" w:rsidRPr="00BF01A2" w:rsidRDefault="004834E9" w:rsidP="004834E9">
      <w:pPr>
        <w:pStyle w:val="Standard"/>
        <w:numPr>
          <w:ilvl w:val="0"/>
          <w:numId w:val="4"/>
        </w:numPr>
        <w:jc w:val="both"/>
        <w:rPr>
          <w:sz w:val="22"/>
          <w:szCs w:val="22"/>
        </w:rPr>
      </w:pPr>
      <w:r w:rsidRPr="00BF01A2">
        <w:rPr>
          <w:rFonts w:ascii="Arial" w:hAnsi="Arial" w:cs="Arial"/>
          <w:i/>
          <w:iCs/>
          <w:sz w:val="22"/>
          <w:szCs w:val="22"/>
        </w:rPr>
        <w:t>Action attendue par l</w:t>
      </w:r>
      <w:r w:rsidR="00BF01A2">
        <w:rPr>
          <w:rFonts w:ascii="Arial" w:hAnsi="Arial" w:cs="Arial"/>
          <w:i/>
          <w:iCs/>
          <w:sz w:val="22"/>
          <w:szCs w:val="22"/>
        </w:rPr>
        <w:t xml:space="preserve">’acheteur </w:t>
      </w:r>
      <w:r w:rsidRPr="00BF01A2">
        <w:rPr>
          <w:rFonts w:ascii="Arial" w:hAnsi="Arial" w:cs="Arial"/>
          <w:i/>
          <w:iCs/>
          <w:sz w:val="22"/>
          <w:szCs w:val="22"/>
        </w:rPr>
        <w:t>:</w:t>
      </w:r>
    </w:p>
    <w:p w:rsidR="004834E9" w:rsidRDefault="004834E9" w:rsidP="004834E9">
      <w:pPr>
        <w:pStyle w:val="Standard"/>
        <w:jc w:val="both"/>
        <w:rPr>
          <w:rFonts w:ascii="Arial" w:hAnsi="Arial" w:cs="Arial"/>
          <w:b/>
          <w:iCs/>
          <w:sz w:val="20"/>
          <w:szCs w:val="20"/>
        </w:rPr>
      </w:pPr>
    </w:p>
    <w:p w:rsidR="004834E9" w:rsidRDefault="004834E9" w:rsidP="004834E9">
      <w:pPr>
        <w:pStyle w:val="Standard"/>
        <w:jc w:val="both"/>
      </w:pPr>
      <w:r>
        <w:rPr>
          <w:rFonts w:ascii="Arial" w:hAnsi="Arial" w:cs="Arial"/>
          <w:b/>
          <w:bCs/>
          <w:iCs/>
          <w:sz w:val="20"/>
          <w:szCs w:val="20"/>
        </w:rPr>
        <w:t xml:space="preserve">Le </w:t>
      </w:r>
      <w:r w:rsidR="00A61816" w:rsidRPr="00A61816">
        <w:rPr>
          <w:rFonts w:ascii="Arial" w:hAnsi="Arial" w:cs="Arial"/>
          <w:b/>
          <w:bCs/>
          <w:iCs/>
          <w:color w:val="FF0000"/>
          <w:sz w:val="20"/>
          <w:szCs w:val="20"/>
        </w:rPr>
        <w:t xml:space="preserve">(nom de l’acheteur) </w:t>
      </w:r>
      <w:r>
        <w:rPr>
          <w:rFonts w:ascii="Arial" w:hAnsi="Arial" w:cs="Arial"/>
          <w:b/>
          <w:bCs/>
          <w:iCs/>
          <w:sz w:val="20"/>
          <w:szCs w:val="20"/>
        </w:rPr>
        <w:t>attend</w:t>
      </w:r>
      <w:r>
        <w:rPr>
          <w:rFonts w:ascii="Arial" w:hAnsi="Arial" w:cs="Arial"/>
          <w:b/>
          <w:iCs/>
          <w:sz w:val="20"/>
          <w:szCs w:val="20"/>
        </w:rPr>
        <w:t xml:space="preserve"> du titulaire qu’il réalise une (ou plusieurs) phases d’un parcours d’un jeune en situation de décrochage scolaire.</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b/>
          <w:iCs/>
          <w:sz w:val="20"/>
          <w:szCs w:val="20"/>
        </w:rPr>
        <w:t xml:space="preserve">Pour ce faire, les candidats remplissent préalablement – et obligatoirement – la </w:t>
      </w:r>
      <w:r w:rsidR="00A604C2">
        <w:rPr>
          <w:rFonts w:ascii="Arial" w:hAnsi="Arial" w:cs="Arial"/>
          <w:b/>
          <w:iCs/>
          <w:sz w:val="20"/>
          <w:szCs w:val="20"/>
        </w:rPr>
        <w:t>« F</w:t>
      </w:r>
      <w:r>
        <w:rPr>
          <w:rFonts w:ascii="Arial" w:hAnsi="Arial" w:cs="Arial"/>
          <w:b/>
          <w:iCs/>
          <w:sz w:val="20"/>
          <w:szCs w:val="20"/>
        </w:rPr>
        <w:t>iche entreprise</w:t>
      </w:r>
      <w:r w:rsidR="00A61816">
        <w:rPr>
          <w:rFonts w:ascii="Arial" w:hAnsi="Arial" w:cs="Arial"/>
          <w:b/>
          <w:iCs/>
          <w:sz w:val="20"/>
          <w:szCs w:val="20"/>
        </w:rPr>
        <w:t xml:space="preserve"> (cadre de réponse)</w:t>
      </w:r>
      <w:r w:rsidR="00A604C2">
        <w:rPr>
          <w:rFonts w:ascii="Arial" w:hAnsi="Arial" w:cs="Arial"/>
          <w:b/>
          <w:iCs/>
          <w:sz w:val="20"/>
          <w:szCs w:val="20"/>
        </w:rPr>
        <w:t> »</w:t>
      </w:r>
      <w:r>
        <w:rPr>
          <w:rFonts w:ascii="Arial" w:hAnsi="Arial" w:cs="Arial"/>
          <w:b/>
          <w:iCs/>
          <w:color w:val="auto"/>
          <w:sz w:val="20"/>
          <w:szCs w:val="20"/>
        </w:rPr>
        <w:t xml:space="preserve"> (</w:t>
      </w:r>
      <w:r>
        <w:rPr>
          <w:rFonts w:ascii="Arial" w:hAnsi="Arial" w:cs="Arial"/>
          <w:b/>
          <w:i/>
          <w:iCs/>
          <w:color w:val="FF0000"/>
          <w:sz w:val="20"/>
          <w:szCs w:val="20"/>
        </w:rPr>
        <w:t xml:space="preserve">cf. annexe … </w:t>
      </w:r>
      <w:r w:rsidR="00A604C2">
        <w:rPr>
          <w:rFonts w:ascii="Arial" w:hAnsi="Arial" w:cs="Arial"/>
          <w:b/>
          <w:i/>
          <w:iCs/>
          <w:color w:val="FF0000"/>
          <w:sz w:val="20"/>
          <w:szCs w:val="20"/>
        </w:rPr>
        <w:t>au RC</w:t>
      </w:r>
      <w:r>
        <w:rPr>
          <w:rFonts w:ascii="Arial" w:hAnsi="Arial" w:cs="Arial"/>
          <w:b/>
          <w:i/>
          <w:iCs/>
          <w:color w:val="FF0000"/>
          <w:sz w:val="20"/>
          <w:szCs w:val="20"/>
        </w:rPr>
        <w:t>)</w:t>
      </w:r>
      <w:r>
        <w:rPr>
          <w:rFonts w:ascii="Arial" w:hAnsi="Arial" w:cs="Arial"/>
          <w:b/>
          <w:iCs/>
          <w:color w:val="auto"/>
          <w:sz w:val="20"/>
          <w:szCs w:val="20"/>
        </w:rPr>
        <w:t xml:space="preserve">. </w:t>
      </w:r>
      <w:r>
        <w:rPr>
          <w:rFonts w:ascii="Arial" w:hAnsi="Arial" w:cs="Arial"/>
          <w:b/>
          <w:iCs/>
          <w:sz w:val="20"/>
          <w:szCs w:val="20"/>
        </w:rPr>
        <w:t>Après notification du marché, cette fiche sera adaptée aux capacités du jeune proposé par la MLDS.</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rPr>
          <w:rFonts w:ascii="Arial" w:hAnsi="Arial" w:cs="Arial"/>
          <w:iCs/>
          <w:sz w:val="20"/>
          <w:szCs w:val="20"/>
        </w:rPr>
      </w:pPr>
      <w:r>
        <w:rPr>
          <w:rFonts w:ascii="Arial" w:hAnsi="Arial" w:cs="Arial"/>
          <w:iCs/>
          <w:sz w:val="20"/>
          <w:szCs w:val="20"/>
        </w:rPr>
        <w:t>L’application de la présente clause sociale implique que le titulaire du marché reçoive le jeune dans ses locaux, en immersion complète.</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rPr>
          <w:rFonts w:ascii="Arial" w:hAnsi="Arial" w:cs="Arial"/>
          <w:iCs/>
          <w:sz w:val="20"/>
          <w:szCs w:val="20"/>
        </w:rPr>
      </w:pPr>
      <w:r>
        <w:rPr>
          <w:rFonts w:ascii="Arial" w:hAnsi="Arial" w:cs="Arial"/>
          <w:iCs/>
          <w:sz w:val="20"/>
          <w:szCs w:val="20"/>
        </w:rPr>
        <w:t>Le jeune est accompagné :</w:t>
      </w:r>
    </w:p>
    <w:p w:rsidR="004834E9" w:rsidRDefault="004834E9" w:rsidP="00A604C2">
      <w:pPr>
        <w:pStyle w:val="Standard"/>
        <w:numPr>
          <w:ilvl w:val="0"/>
          <w:numId w:val="6"/>
        </w:numPr>
        <w:jc w:val="both"/>
        <w:rPr>
          <w:rFonts w:ascii="Arial" w:hAnsi="Arial" w:cs="Arial"/>
          <w:iCs/>
          <w:sz w:val="20"/>
          <w:szCs w:val="20"/>
        </w:rPr>
      </w:pPr>
      <w:r>
        <w:rPr>
          <w:rFonts w:ascii="Arial" w:hAnsi="Arial" w:cs="Arial"/>
          <w:iCs/>
          <w:sz w:val="20"/>
          <w:szCs w:val="20"/>
        </w:rPr>
        <w:t>sur l’ensemble de son parcours, par la MLDS, qui désigne un tuteur pédagogique ;</w:t>
      </w:r>
    </w:p>
    <w:p w:rsidR="004834E9" w:rsidRDefault="004834E9" w:rsidP="00A604C2">
      <w:pPr>
        <w:pStyle w:val="Standard"/>
        <w:numPr>
          <w:ilvl w:val="0"/>
          <w:numId w:val="6"/>
        </w:numPr>
        <w:jc w:val="both"/>
        <w:rPr>
          <w:rFonts w:ascii="Arial" w:hAnsi="Arial" w:cs="Arial"/>
          <w:iCs/>
          <w:sz w:val="20"/>
          <w:szCs w:val="20"/>
        </w:rPr>
      </w:pPr>
      <w:r>
        <w:rPr>
          <w:rFonts w:ascii="Arial" w:hAnsi="Arial" w:cs="Arial"/>
          <w:iCs/>
          <w:sz w:val="20"/>
          <w:szCs w:val="20"/>
        </w:rPr>
        <w:t>et par un référent au sein de l’entreprise partenaire (référent désigné par le titulaire du marché).</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rPr>
          <w:rFonts w:ascii="Arial" w:hAnsi="Arial" w:cs="Arial"/>
          <w:iCs/>
          <w:sz w:val="20"/>
          <w:szCs w:val="20"/>
        </w:rPr>
      </w:pPr>
      <w:r>
        <w:rPr>
          <w:rFonts w:ascii="Arial" w:hAnsi="Arial" w:cs="Arial"/>
          <w:iCs/>
          <w:sz w:val="20"/>
          <w:szCs w:val="20"/>
        </w:rPr>
        <w:t xml:space="preserve">À la fin de chaque phase, une validation des objectifs est réalisée par le tuteur pédagogique avec le jeune bénéficiaire de la clause. Le tuteur pédagogique est en relation directe avec le référent </w:t>
      </w:r>
      <w:r w:rsidR="0032750D">
        <w:rPr>
          <w:rFonts w:ascii="Arial" w:hAnsi="Arial" w:cs="Arial"/>
          <w:iCs/>
          <w:sz w:val="20"/>
          <w:szCs w:val="20"/>
        </w:rPr>
        <w:t>« </w:t>
      </w:r>
      <w:r>
        <w:rPr>
          <w:rFonts w:ascii="Arial" w:hAnsi="Arial" w:cs="Arial"/>
          <w:iCs/>
          <w:sz w:val="20"/>
          <w:szCs w:val="20"/>
        </w:rPr>
        <w:t>entreprise</w:t>
      </w:r>
      <w:r w:rsidR="0032750D">
        <w:rPr>
          <w:rFonts w:ascii="Arial" w:hAnsi="Arial" w:cs="Arial"/>
          <w:iCs/>
          <w:sz w:val="20"/>
          <w:szCs w:val="20"/>
        </w:rPr>
        <w:t> »</w:t>
      </w:r>
      <w:r>
        <w:rPr>
          <w:rFonts w:ascii="Arial" w:hAnsi="Arial" w:cs="Arial"/>
          <w:iCs/>
          <w:sz w:val="20"/>
          <w:szCs w:val="20"/>
        </w:rPr>
        <w:t xml:space="preserve">. </w:t>
      </w:r>
      <w:r w:rsidR="00A61816">
        <w:rPr>
          <w:rFonts w:ascii="Arial" w:hAnsi="Arial" w:cs="Arial"/>
          <w:iCs/>
          <w:sz w:val="20"/>
          <w:szCs w:val="20"/>
        </w:rPr>
        <w:t>A la fin du parcours, l</w:t>
      </w:r>
      <w:r>
        <w:rPr>
          <w:rFonts w:ascii="Arial" w:hAnsi="Arial" w:cs="Arial"/>
          <w:iCs/>
          <w:sz w:val="20"/>
          <w:szCs w:val="20"/>
        </w:rPr>
        <w:t xml:space="preserve">es validations des objectifs se font par écrit, sous la forme d’un bilan croisé, réalisé par le tuteur pédagogique et le référent </w:t>
      </w:r>
      <w:r w:rsidR="0032750D">
        <w:rPr>
          <w:rFonts w:ascii="Arial" w:hAnsi="Arial" w:cs="Arial"/>
          <w:iCs/>
          <w:sz w:val="20"/>
          <w:szCs w:val="20"/>
        </w:rPr>
        <w:t>« </w:t>
      </w:r>
      <w:r>
        <w:rPr>
          <w:rFonts w:ascii="Arial" w:hAnsi="Arial" w:cs="Arial"/>
          <w:iCs/>
          <w:sz w:val="20"/>
          <w:szCs w:val="20"/>
        </w:rPr>
        <w:t>entreprise</w:t>
      </w:r>
      <w:r w:rsidR="0032750D">
        <w:rPr>
          <w:rFonts w:ascii="Arial" w:hAnsi="Arial" w:cs="Arial"/>
          <w:iCs/>
          <w:sz w:val="20"/>
          <w:szCs w:val="20"/>
        </w:rPr>
        <w:t> »</w:t>
      </w:r>
      <w:r>
        <w:rPr>
          <w:rFonts w:ascii="Arial" w:hAnsi="Arial" w:cs="Arial"/>
          <w:iCs/>
          <w:sz w:val="20"/>
          <w:szCs w:val="20"/>
        </w:rPr>
        <w:t>.</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rPr>
          <w:rFonts w:ascii="Arial" w:hAnsi="Arial" w:cs="Arial"/>
          <w:iCs/>
          <w:sz w:val="20"/>
          <w:szCs w:val="20"/>
        </w:rPr>
      </w:pPr>
    </w:p>
    <w:p w:rsidR="00A61816" w:rsidRDefault="00A61816" w:rsidP="004834E9">
      <w:pPr>
        <w:pStyle w:val="Standard"/>
        <w:jc w:val="both"/>
        <w:rPr>
          <w:rFonts w:ascii="Arial" w:hAnsi="Arial" w:cs="Arial"/>
          <w:iCs/>
          <w:sz w:val="20"/>
          <w:szCs w:val="20"/>
        </w:rPr>
      </w:pPr>
    </w:p>
    <w:p w:rsidR="004834E9" w:rsidRPr="00BF01A2" w:rsidRDefault="004834E9" w:rsidP="004834E9">
      <w:pPr>
        <w:pStyle w:val="Standard"/>
        <w:numPr>
          <w:ilvl w:val="0"/>
          <w:numId w:val="2"/>
        </w:numPr>
        <w:jc w:val="both"/>
        <w:rPr>
          <w:rFonts w:ascii="Arial" w:hAnsi="Arial" w:cs="Arial"/>
          <w:i/>
          <w:iCs/>
          <w:sz w:val="22"/>
          <w:szCs w:val="22"/>
        </w:rPr>
      </w:pPr>
      <w:r w:rsidRPr="00BF01A2">
        <w:rPr>
          <w:rFonts w:ascii="Arial" w:hAnsi="Arial" w:cs="Arial"/>
          <w:i/>
          <w:iCs/>
          <w:sz w:val="22"/>
          <w:szCs w:val="22"/>
        </w:rPr>
        <w:t>Valorisation de l’action du titulaire :</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iCs/>
          <w:sz w:val="20"/>
          <w:szCs w:val="20"/>
        </w:rPr>
        <w:t>Les résultats obtenus et les parcours ré</w:t>
      </w:r>
      <w:r>
        <w:rPr>
          <w:rFonts w:ascii="Arial" w:hAnsi="Arial" w:cs="Arial"/>
          <w:iCs/>
          <w:color w:val="auto"/>
          <w:sz w:val="20"/>
          <w:szCs w:val="20"/>
        </w:rPr>
        <w:t xml:space="preserve">ussis </w:t>
      </w:r>
      <w:r w:rsidR="00C332B2">
        <w:rPr>
          <w:rFonts w:ascii="Arial" w:hAnsi="Arial" w:cs="Arial"/>
          <w:iCs/>
          <w:color w:val="auto"/>
          <w:sz w:val="20"/>
          <w:szCs w:val="20"/>
        </w:rPr>
        <w:t xml:space="preserve">peuvent faire </w:t>
      </w:r>
      <w:r>
        <w:rPr>
          <w:rFonts w:ascii="Arial" w:hAnsi="Arial" w:cs="Arial"/>
          <w:iCs/>
          <w:color w:val="auto"/>
          <w:sz w:val="20"/>
          <w:szCs w:val="20"/>
        </w:rPr>
        <w:t>l’objet d’une valorisation par le ministère</w:t>
      </w:r>
      <w:r w:rsidR="00A604C2">
        <w:rPr>
          <w:rFonts w:ascii="Arial" w:hAnsi="Arial" w:cs="Arial"/>
          <w:iCs/>
          <w:color w:val="auto"/>
          <w:sz w:val="20"/>
          <w:szCs w:val="20"/>
        </w:rPr>
        <w:t xml:space="preserve"> chargé </w:t>
      </w:r>
      <w:r>
        <w:rPr>
          <w:rFonts w:ascii="Arial" w:hAnsi="Arial" w:cs="Arial"/>
          <w:iCs/>
          <w:color w:val="auto"/>
          <w:sz w:val="20"/>
          <w:szCs w:val="20"/>
        </w:rPr>
        <w:t>de l’Éducation nationale</w:t>
      </w:r>
      <w:r>
        <w:rPr>
          <w:rFonts w:ascii="Arial" w:hAnsi="Arial" w:cs="Arial"/>
          <w:iCs/>
          <w:sz w:val="20"/>
          <w:szCs w:val="20"/>
        </w:rPr>
        <w:t>.</w:t>
      </w:r>
    </w:p>
    <w:p w:rsidR="004834E9" w:rsidRDefault="004834E9" w:rsidP="004834E9">
      <w:pPr>
        <w:pStyle w:val="Standard"/>
        <w:jc w:val="both"/>
        <w:rPr>
          <w:rFonts w:ascii="Arial" w:hAnsi="Arial" w:cs="Arial"/>
          <w:iCs/>
          <w:sz w:val="20"/>
          <w:szCs w:val="20"/>
        </w:rPr>
      </w:pPr>
    </w:p>
    <w:p w:rsidR="004834E9" w:rsidRDefault="004834E9" w:rsidP="004834E9">
      <w:pPr>
        <w:pStyle w:val="Standard"/>
        <w:jc w:val="both"/>
      </w:pPr>
      <w:r>
        <w:rPr>
          <w:rFonts w:ascii="Arial" w:hAnsi="Arial" w:cs="Arial"/>
          <w:b/>
          <w:iCs/>
          <w:sz w:val="20"/>
          <w:szCs w:val="20"/>
        </w:rPr>
        <w:t>Un engagement ferme de réaliser les heures prévues dans le cadre du marché est exigé des candidats, se traduisant par la présentation d’éléments</w:t>
      </w:r>
      <w:r>
        <w:rPr>
          <w:rFonts w:ascii="Arial" w:hAnsi="Arial" w:cs="Arial"/>
          <w:b/>
          <w:iCs/>
          <w:color w:val="auto"/>
          <w:sz w:val="20"/>
          <w:szCs w:val="20"/>
        </w:rPr>
        <w:t xml:space="preserve"> concrets, précis et détaillés </w:t>
      </w:r>
      <w:r>
        <w:rPr>
          <w:rFonts w:ascii="Arial" w:hAnsi="Arial" w:cs="Arial"/>
          <w:b/>
          <w:iCs/>
          <w:sz w:val="20"/>
          <w:szCs w:val="20"/>
        </w:rPr>
        <w:t>(</w:t>
      </w:r>
      <w:r>
        <w:rPr>
          <w:rFonts w:ascii="Arial" w:hAnsi="Arial" w:cs="Arial"/>
          <w:b/>
          <w:i/>
          <w:iCs/>
          <w:sz w:val="20"/>
          <w:szCs w:val="20"/>
        </w:rPr>
        <w:t xml:space="preserve">en remplissant la </w:t>
      </w:r>
      <w:r w:rsidR="00C332B2">
        <w:rPr>
          <w:rFonts w:ascii="Arial" w:hAnsi="Arial" w:cs="Arial"/>
          <w:b/>
          <w:i/>
          <w:iCs/>
          <w:sz w:val="20"/>
          <w:szCs w:val="20"/>
        </w:rPr>
        <w:t>« </w:t>
      </w:r>
      <w:r>
        <w:rPr>
          <w:rFonts w:ascii="Arial" w:hAnsi="Arial" w:cs="Arial"/>
          <w:b/>
          <w:i/>
          <w:iCs/>
          <w:sz w:val="20"/>
          <w:szCs w:val="20"/>
        </w:rPr>
        <w:t>Fiche entreprise</w:t>
      </w:r>
      <w:r w:rsidR="00C332B2">
        <w:rPr>
          <w:rFonts w:ascii="Arial" w:hAnsi="Arial" w:cs="Arial"/>
          <w:b/>
          <w:i/>
          <w:iCs/>
          <w:sz w:val="20"/>
          <w:szCs w:val="20"/>
        </w:rPr>
        <w:t> » cadre de réponse</w:t>
      </w:r>
      <w:r>
        <w:rPr>
          <w:rFonts w:ascii="Arial" w:hAnsi="Arial" w:cs="Arial"/>
          <w:b/>
          <w:iCs/>
          <w:sz w:val="20"/>
          <w:szCs w:val="20"/>
        </w:rPr>
        <w:t>).</w:t>
      </w:r>
    </w:p>
    <w:p w:rsidR="004834E9" w:rsidRDefault="004834E9" w:rsidP="004834E9">
      <w:pPr>
        <w:pStyle w:val="Standard"/>
      </w:pPr>
    </w:p>
    <w:p w:rsidR="00A61816" w:rsidRDefault="00A61816" w:rsidP="004834E9">
      <w:pPr>
        <w:pStyle w:val="Standard"/>
      </w:pPr>
    </w:p>
    <w:p w:rsidR="004834E9" w:rsidRDefault="004834E9" w:rsidP="004834E9">
      <w:pPr>
        <w:pStyle w:val="Standard"/>
      </w:pPr>
    </w:p>
    <w:p w:rsidR="004E3EB8" w:rsidRDefault="004E3EB8" w:rsidP="004834E9">
      <w:pPr>
        <w:pStyle w:val="Standard"/>
      </w:pPr>
      <w:r>
        <w:br w:type="page"/>
      </w:r>
    </w:p>
    <w:p w:rsidR="004E3EB8" w:rsidRDefault="004E3EB8" w:rsidP="004834E9">
      <w:pPr>
        <w:pStyle w:val="Standard"/>
      </w:pPr>
    </w:p>
    <w:tbl>
      <w:tblPr>
        <w:tblW w:w="9212" w:type="dxa"/>
        <w:tblInd w:w="-75" w:type="dxa"/>
        <w:tblLayout w:type="fixed"/>
        <w:tblCellMar>
          <w:left w:w="10" w:type="dxa"/>
          <w:right w:w="10" w:type="dxa"/>
        </w:tblCellMar>
        <w:tblLook w:val="0000" w:firstRow="0" w:lastRow="0" w:firstColumn="0" w:lastColumn="0" w:noHBand="0" w:noVBand="0"/>
      </w:tblPr>
      <w:tblGrid>
        <w:gridCol w:w="9212"/>
      </w:tblGrid>
      <w:tr w:rsidR="004834E9" w:rsidTr="00A659E1">
        <w:tc>
          <w:tcPr>
            <w:tcW w:w="9212"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4834E9" w:rsidRDefault="004834E9" w:rsidP="00A659E1">
            <w:pPr>
              <w:pStyle w:val="Standard"/>
            </w:pPr>
          </w:p>
          <w:p w:rsidR="004834E9" w:rsidRDefault="004834E9" w:rsidP="00A659E1">
            <w:pPr>
              <w:pStyle w:val="Standard"/>
              <w:jc w:val="center"/>
              <w:rPr>
                <w:rFonts w:ascii="Helv" w:hAnsi="Helv" w:cs="Helv"/>
                <w:b/>
                <w:i/>
                <w:color w:val="000000"/>
                <w:sz w:val="22"/>
                <w:szCs w:val="22"/>
              </w:rPr>
            </w:pPr>
            <w:r>
              <w:rPr>
                <w:rFonts w:ascii="Helv" w:hAnsi="Helv" w:cs="Helv"/>
                <w:b/>
                <w:i/>
                <w:color w:val="000000"/>
                <w:sz w:val="22"/>
                <w:szCs w:val="22"/>
              </w:rPr>
              <w:t xml:space="preserve">Quelques précisions concernant le projet du ministère </w:t>
            </w:r>
            <w:r w:rsidR="00505664">
              <w:rPr>
                <w:rFonts w:ascii="Helv" w:hAnsi="Helv" w:cs="Helv"/>
                <w:b/>
                <w:i/>
                <w:color w:val="000000"/>
                <w:sz w:val="22"/>
                <w:szCs w:val="22"/>
              </w:rPr>
              <w:t xml:space="preserve">de l’Education nationale </w:t>
            </w:r>
            <w:r>
              <w:rPr>
                <w:rFonts w:ascii="Helv" w:hAnsi="Helv" w:cs="Helv"/>
                <w:b/>
                <w:i/>
                <w:color w:val="000000"/>
                <w:sz w:val="22"/>
                <w:szCs w:val="22"/>
              </w:rPr>
              <w:t>:</w:t>
            </w:r>
          </w:p>
          <w:p w:rsidR="004834E9" w:rsidRDefault="004834E9" w:rsidP="00A659E1">
            <w:pPr>
              <w:pStyle w:val="Standard"/>
              <w:jc w:val="both"/>
              <w:rPr>
                <w:rFonts w:ascii="Helv" w:hAnsi="Helv" w:cs="Helv"/>
                <w:i/>
                <w:color w:val="000000"/>
                <w:sz w:val="20"/>
                <w:szCs w:val="20"/>
              </w:rPr>
            </w:pPr>
          </w:p>
          <w:p w:rsidR="004834E9" w:rsidRDefault="004834E9" w:rsidP="00A659E1">
            <w:pPr>
              <w:pStyle w:val="Standard"/>
              <w:jc w:val="both"/>
            </w:pPr>
            <w:r>
              <w:rPr>
                <w:rFonts w:ascii="Helv" w:hAnsi="Helv" w:cs="Helv"/>
                <w:i/>
                <w:color w:val="auto"/>
                <w:sz w:val="20"/>
                <w:szCs w:val="20"/>
              </w:rPr>
              <w:t xml:space="preserve">L’acheteur </w:t>
            </w:r>
            <w:r>
              <w:rPr>
                <w:rFonts w:ascii="Helv" w:hAnsi="Helv" w:cs="Helv"/>
                <w:i/>
                <w:color w:val="000000"/>
                <w:sz w:val="20"/>
                <w:szCs w:val="20"/>
              </w:rPr>
              <w:t xml:space="preserve">assure le lien entre la </w:t>
            </w:r>
            <w:r>
              <w:rPr>
                <w:rFonts w:ascii="Arial" w:hAnsi="Arial" w:cs="Arial"/>
                <w:i/>
                <w:iCs/>
                <w:sz w:val="20"/>
                <w:szCs w:val="20"/>
              </w:rPr>
              <w:t>M</w:t>
            </w:r>
            <w:r w:rsidR="00C332B2">
              <w:rPr>
                <w:rFonts w:ascii="Arial" w:hAnsi="Arial" w:cs="Arial"/>
                <w:i/>
                <w:iCs/>
                <w:sz w:val="20"/>
                <w:szCs w:val="20"/>
              </w:rPr>
              <w:t xml:space="preserve">ission de </w:t>
            </w:r>
            <w:r>
              <w:rPr>
                <w:rFonts w:ascii="Arial" w:hAnsi="Arial" w:cs="Arial"/>
                <w:i/>
                <w:iCs/>
                <w:sz w:val="20"/>
                <w:szCs w:val="20"/>
              </w:rPr>
              <w:t>L</w:t>
            </w:r>
            <w:r w:rsidR="00C332B2">
              <w:rPr>
                <w:rFonts w:ascii="Arial" w:hAnsi="Arial" w:cs="Arial"/>
                <w:i/>
                <w:iCs/>
                <w:sz w:val="20"/>
                <w:szCs w:val="20"/>
              </w:rPr>
              <w:t xml:space="preserve">utte contre le </w:t>
            </w:r>
            <w:r>
              <w:rPr>
                <w:rFonts w:ascii="Arial" w:hAnsi="Arial" w:cs="Arial"/>
                <w:i/>
                <w:iCs/>
                <w:sz w:val="20"/>
                <w:szCs w:val="20"/>
              </w:rPr>
              <w:t>D</w:t>
            </w:r>
            <w:r w:rsidR="00C332B2">
              <w:rPr>
                <w:rFonts w:ascii="Arial" w:hAnsi="Arial" w:cs="Arial"/>
                <w:i/>
                <w:iCs/>
                <w:sz w:val="20"/>
                <w:szCs w:val="20"/>
              </w:rPr>
              <w:t xml:space="preserve">écrochage </w:t>
            </w:r>
            <w:r>
              <w:rPr>
                <w:rFonts w:ascii="Arial" w:hAnsi="Arial" w:cs="Arial"/>
                <w:i/>
                <w:iCs/>
                <w:sz w:val="20"/>
                <w:szCs w:val="20"/>
              </w:rPr>
              <w:t>S</w:t>
            </w:r>
            <w:r w:rsidR="00C332B2">
              <w:rPr>
                <w:rFonts w:ascii="Arial" w:hAnsi="Arial" w:cs="Arial"/>
                <w:i/>
                <w:iCs/>
                <w:sz w:val="20"/>
                <w:szCs w:val="20"/>
              </w:rPr>
              <w:t>colaire (MLDS)</w:t>
            </w:r>
            <w:r>
              <w:rPr>
                <w:rFonts w:ascii="Helv" w:hAnsi="Helv" w:cs="Helv"/>
                <w:i/>
                <w:color w:val="000000"/>
                <w:sz w:val="20"/>
                <w:szCs w:val="20"/>
              </w:rPr>
              <w:t xml:space="preserve"> et le titulaire du marché.</w:t>
            </w:r>
          </w:p>
          <w:p w:rsidR="004834E9" w:rsidRDefault="004834E9" w:rsidP="00A659E1">
            <w:pPr>
              <w:pStyle w:val="Standard"/>
              <w:jc w:val="both"/>
              <w:rPr>
                <w:rFonts w:ascii="Helv" w:hAnsi="Helv" w:cs="Helv"/>
                <w:i/>
                <w:color w:val="000000"/>
                <w:sz w:val="20"/>
                <w:szCs w:val="20"/>
              </w:rPr>
            </w:pPr>
          </w:p>
          <w:p w:rsidR="004834E9" w:rsidRDefault="004834E9" w:rsidP="00A659E1">
            <w:pPr>
              <w:pStyle w:val="Standard"/>
              <w:jc w:val="both"/>
            </w:pPr>
            <w:r>
              <w:rPr>
                <w:rFonts w:ascii="Helv" w:hAnsi="Helv" w:cs="Helv"/>
                <w:i/>
                <w:color w:val="000000"/>
                <w:sz w:val="20"/>
                <w:szCs w:val="20"/>
              </w:rPr>
              <w:t xml:space="preserve">Le jeune bénéficiaire de la clause est </w:t>
            </w:r>
            <w:r w:rsidR="00505664">
              <w:rPr>
                <w:rFonts w:ascii="Helv" w:hAnsi="Helv" w:cs="Helv"/>
                <w:i/>
                <w:color w:val="000000"/>
                <w:sz w:val="20"/>
                <w:szCs w:val="20"/>
              </w:rPr>
              <w:t xml:space="preserve">identifié </w:t>
            </w:r>
            <w:r>
              <w:rPr>
                <w:rFonts w:ascii="Helv" w:hAnsi="Helv" w:cs="Helv"/>
                <w:i/>
                <w:color w:val="000000"/>
                <w:sz w:val="20"/>
                <w:szCs w:val="20"/>
              </w:rPr>
              <w:t xml:space="preserve">par la MLDS, qui vérifie sa motivation et son souhait de </w:t>
            </w:r>
            <w:r w:rsidR="00381A4D">
              <w:rPr>
                <w:rFonts w:ascii="Helv" w:hAnsi="Helv" w:cs="Helv"/>
                <w:i/>
                <w:color w:val="000000"/>
                <w:sz w:val="20"/>
                <w:szCs w:val="20"/>
              </w:rPr>
              <w:t>réaliser un parcours en entreprise</w:t>
            </w:r>
            <w:r>
              <w:rPr>
                <w:rFonts w:ascii="Helv" w:hAnsi="Helv" w:cs="Helv"/>
                <w:i/>
                <w:color w:val="000000"/>
                <w:sz w:val="20"/>
                <w:szCs w:val="20"/>
              </w:rPr>
              <w:t>. La MLDS, via l’acheteur</w:t>
            </w:r>
            <w:r w:rsidR="00505664">
              <w:rPr>
                <w:rFonts w:ascii="Helv" w:hAnsi="Helv" w:cs="Helv"/>
                <w:i/>
                <w:color w:val="000000"/>
                <w:sz w:val="20"/>
                <w:szCs w:val="20"/>
              </w:rPr>
              <w:t xml:space="preserve">, </w:t>
            </w:r>
            <w:r>
              <w:rPr>
                <w:rFonts w:ascii="Helv" w:hAnsi="Helv" w:cs="Helv"/>
                <w:i/>
                <w:color w:val="auto"/>
                <w:sz w:val="20"/>
                <w:szCs w:val="20"/>
              </w:rPr>
              <w:t xml:space="preserve">propose au titulaire </w:t>
            </w:r>
            <w:r>
              <w:rPr>
                <w:rFonts w:ascii="Helv" w:hAnsi="Helv" w:cs="Helv"/>
                <w:i/>
                <w:sz w:val="20"/>
                <w:szCs w:val="20"/>
              </w:rPr>
              <w:t xml:space="preserve">un profil, avec transmission d'une lettre de motivation et </w:t>
            </w:r>
            <w:r>
              <w:rPr>
                <w:rFonts w:ascii="Helv" w:hAnsi="Helv" w:cs="Helv"/>
                <w:i/>
                <w:color w:val="000000"/>
                <w:sz w:val="20"/>
                <w:szCs w:val="20"/>
              </w:rPr>
              <w:t>d'un Curriculum Vitae.</w:t>
            </w:r>
          </w:p>
          <w:p w:rsidR="004834E9" w:rsidRDefault="004834E9" w:rsidP="00A659E1">
            <w:pPr>
              <w:pStyle w:val="Standard"/>
              <w:jc w:val="both"/>
              <w:rPr>
                <w:rFonts w:ascii="Helv" w:hAnsi="Helv" w:cs="Helv"/>
                <w:i/>
                <w:color w:val="000000"/>
                <w:sz w:val="20"/>
                <w:szCs w:val="20"/>
              </w:rPr>
            </w:pPr>
          </w:p>
          <w:p w:rsidR="004834E9" w:rsidRDefault="004834E9" w:rsidP="00A659E1">
            <w:pPr>
              <w:pStyle w:val="Standard"/>
              <w:jc w:val="both"/>
              <w:rPr>
                <w:rFonts w:ascii="Helv" w:hAnsi="Helv" w:cs="Helv"/>
                <w:i/>
                <w:color w:val="000000"/>
                <w:sz w:val="20"/>
                <w:szCs w:val="20"/>
              </w:rPr>
            </w:pPr>
            <w:r>
              <w:rPr>
                <w:rFonts w:ascii="Helv" w:hAnsi="Helv" w:cs="Helv"/>
                <w:i/>
                <w:color w:val="000000"/>
                <w:sz w:val="20"/>
                <w:szCs w:val="20"/>
              </w:rPr>
              <w:t>Le titulaire du marché peut refuser le profil proposé, à condition de motiver sa décision. Un autre profil lui est alors proposé par la MLDS.</w:t>
            </w:r>
          </w:p>
          <w:p w:rsidR="004834E9" w:rsidRDefault="004834E9" w:rsidP="00A659E1">
            <w:pPr>
              <w:pStyle w:val="Standard"/>
              <w:jc w:val="both"/>
              <w:rPr>
                <w:rFonts w:ascii="Helv" w:hAnsi="Helv" w:cs="Helv"/>
                <w:i/>
                <w:color w:val="000000"/>
                <w:sz w:val="20"/>
                <w:szCs w:val="20"/>
              </w:rPr>
            </w:pPr>
          </w:p>
          <w:p w:rsidR="004834E9" w:rsidRDefault="004834E9" w:rsidP="00A659E1">
            <w:pPr>
              <w:pStyle w:val="Standard"/>
              <w:jc w:val="both"/>
              <w:rPr>
                <w:rFonts w:ascii="Helv" w:hAnsi="Helv" w:cs="Helv"/>
                <w:i/>
                <w:color w:val="000000"/>
                <w:sz w:val="20"/>
                <w:szCs w:val="20"/>
              </w:rPr>
            </w:pPr>
            <w:r>
              <w:rPr>
                <w:rFonts w:ascii="Helv" w:hAnsi="Helv" w:cs="Helv"/>
                <w:i/>
                <w:color w:val="000000"/>
                <w:sz w:val="20"/>
                <w:szCs w:val="20"/>
              </w:rPr>
              <w:t xml:space="preserve">Les tâches proposées au jeune bénéficiaire de la clause peuvent être d'ordre administratif ou technique. Néanmoins, le titulaire prévoit </w:t>
            </w:r>
            <w:proofErr w:type="gramStart"/>
            <w:r>
              <w:rPr>
                <w:rFonts w:ascii="Helv" w:hAnsi="Helv" w:cs="Helv"/>
                <w:i/>
                <w:color w:val="000000"/>
                <w:sz w:val="20"/>
                <w:szCs w:val="20"/>
              </w:rPr>
              <w:t>a</w:t>
            </w:r>
            <w:proofErr w:type="gramEnd"/>
            <w:r>
              <w:rPr>
                <w:rFonts w:ascii="Helv" w:hAnsi="Helv" w:cs="Helv"/>
                <w:i/>
                <w:color w:val="000000"/>
                <w:sz w:val="20"/>
                <w:szCs w:val="20"/>
              </w:rPr>
              <w:t xml:space="preserve"> minima une présentation du secteur d’activité en lien avec l’objet du marché. Si le titulaire ne parvient pas à proposer dans son offre une tâche en lien avec l’objet du marché, cet aspect est nécessairement abordé lors de la réunion de lancement du marché ou lors de la réunion de présentation du jeune à l’entreprise.</w:t>
            </w:r>
          </w:p>
          <w:p w:rsidR="004834E9" w:rsidRDefault="004834E9" w:rsidP="00A659E1">
            <w:pPr>
              <w:pStyle w:val="Standard"/>
              <w:jc w:val="both"/>
              <w:rPr>
                <w:rFonts w:ascii="Helv" w:hAnsi="Helv" w:cs="Helv"/>
                <w:i/>
                <w:color w:val="000000"/>
                <w:sz w:val="20"/>
                <w:szCs w:val="20"/>
              </w:rPr>
            </w:pPr>
          </w:p>
          <w:p w:rsidR="004834E9" w:rsidRDefault="004834E9" w:rsidP="00A659E1">
            <w:pPr>
              <w:pStyle w:val="Standard"/>
              <w:jc w:val="both"/>
            </w:pPr>
            <w:r>
              <w:rPr>
                <w:rFonts w:ascii="Helv" w:hAnsi="Helv" w:cs="Helv"/>
                <w:i/>
                <w:color w:val="000000"/>
                <w:sz w:val="20"/>
                <w:szCs w:val="20"/>
              </w:rPr>
              <w:t>Le référent</w:t>
            </w:r>
            <w:r>
              <w:rPr>
                <w:rFonts w:ascii="Helv" w:hAnsi="Helv" w:cs="Helv"/>
                <w:i/>
                <w:color w:val="auto"/>
                <w:sz w:val="20"/>
                <w:szCs w:val="20"/>
              </w:rPr>
              <w:t xml:space="preserve"> « Entreprise » </w:t>
            </w:r>
            <w:r>
              <w:rPr>
                <w:rFonts w:ascii="Helv" w:hAnsi="Helv" w:cs="Helv"/>
                <w:i/>
                <w:color w:val="000000"/>
                <w:sz w:val="20"/>
                <w:szCs w:val="20"/>
              </w:rPr>
              <w:t>n’est pas nécessairement responsable des ressources humaines (RRH). Néa</w:t>
            </w:r>
            <w:r>
              <w:rPr>
                <w:rFonts w:ascii="Helv" w:hAnsi="Helv" w:cs="Helv"/>
                <w:i/>
                <w:color w:val="auto"/>
                <w:sz w:val="20"/>
                <w:szCs w:val="20"/>
              </w:rPr>
              <w:t>nmoins, les can</w:t>
            </w:r>
            <w:r>
              <w:rPr>
                <w:rFonts w:ascii="Helv" w:hAnsi="Helv" w:cs="Helv"/>
                <w:i/>
                <w:color w:val="000000"/>
                <w:sz w:val="20"/>
                <w:szCs w:val="20"/>
              </w:rPr>
              <w:t>didats doivent préciser dans leur offre le nom du RRH, ainsi que le nom du</w:t>
            </w:r>
            <w:r w:rsidR="00C332B2">
              <w:rPr>
                <w:rFonts w:ascii="Helv" w:hAnsi="Helv" w:cs="Helv"/>
                <w:i/>
                <w:color w:val="000000"/>
                <w:sz w:val="20"/>
                <w:szCs w:val="20"/>
              </w:rPr>
              <w:t xml:space="preserve"> référent « entreprise »</w:t>
            </w:r>
            <w:r>
              <w:rPr>
                <w:rFonts w:ascii="Helv" w:hAnsi="Helv" w:cs="Helv"/>
                <w:i/>
                <w:color w:val="000000"/>
                <w:sz w:val="20"/>
                <w:szCs w:val="20"/>
              </w:rPr>
              <w:t xml:space="preserve"> s'il est différent.</w:t>
            </w:r>
          </w:p>
          <w:p w:rsidR="004834E9" w:rsidRDefault="004834E9" w:rsidP="00A659E1">
            <w:pPr>
              <w:pStyle w:val="Standard"/>
              <w:tabs>
                <w:tab w:val="left" w:pos="-720"/>
                <w:tab w:val="left" w:pos="0"/>
                <w:tab w:val="left" w:pos="720"/>
                <w:tab w:val="left" w:pos="1440"/>
                <w:tab w:val="left" w:pos="2160"/>
                <w:tab w:val="left" w:pos="2880"/>
                <w:tab w:val="left" w:pos="3600"/>
                <w:tab w:val="left" w:pos="4320"/>
              </w:tabs>
              <w:jc w:val="both"/>
              <w:rPr>
                <w:rFonts w:ascii="Helv" w:hAnsi="Helv" w:cs="Helv"/>
                <w:i/>
                <w:color w:val="000000"/>
                <w:sz w:val="20"/>
                <w:szCs w:val="20"/>
              </w:rPr>
            </w:pPr>
          </w:p>
          <w:p w:rsidR="006E6329" w:rsidRDefault="004834E9" w:rsidP="00A659E1">
            <w:pPr>
              <w:pStyle w:val="Standard"/>
              <w:tabs>
                <w:tab w:val="left" w:pos="-720"/>
                <w:tab w:val="left" w:pos="0"/>
                <w:tab w:val="left" w:pos="720"/>
                <w:tab w:val="left" w:pos="1440"/>
                <w:tab w:val="left" w:pos="2160"/>
                <w:tab w:val="left" w:pos="2880"/>
                <w:tab w:val="left" w:pos="3600"/>
                <w:tab w:val="left" w:pos="4320"/>
              </w:tabs>
              <w:jc w:val="both"/>
              <w:rPr>
                <w:rFonts w:ascii="Helv" w:hAnsi="Helv" w:cs="Helv"/>
                <w:i/>
                <w:color w:val="000000"/>
                <w:sz w:val="20"/>
                <w:szCs w:val="20"/>
              </w:rPr>
            </w:pPr>
            <w:r>
              <w:rPr>
                <w:rFonts w:ascii="Helv" w:hAnsi="Helv" w:cs="Helv"/>
                <w:i/>
                <w:color w:val="000000"/>
                <w:sz w:val="20"/>
                <w:szCs w:val="20"/>
              </w:rPr>
              <w:t xml:space="preserve">Conformément à la réglementation en vigueur, tout parcours de plus de deux mois, effectué dans la même entreprise, ouvre droit à une gratification qui ne peut pas être inférieure à </w:t>
            </w:r>
            <w:r w:rsidR="00505664">
              <w:rPr>
                <w:rFonts w:ascii="Helv" w:hAnsi="Helv" w:cs="Helv"/>
                <w:i/>
                <w:color w:val="000000"/>
                <w:sz w:val="20"/>
                <w:szCs w:val="20"/>
              </w:rPr>
              <w:t>15</w:t>
            </w:r>
            <w:r>
              <w:rPr>
                <w:rFonts w:ascii="Helv" w:hAnsi="Helv" w:cs="Helv"/>
                <w:i/>
                <w:color w:val="000000"/>
                <w:sz w:val="20"/>
                <w:szCs w:val="20"/>
              </w:rPr>
              <w:t xml:space="preserve"> % du plafond horaire de la sécurité sociale</w:t>
            </w:r>
            <w:r w:rsidR="00505664">
              <w:rPr>
                <w:rFonts w:ascii="Helv" w:hAnsi="Helv" w:cs="Helv"/>
                <w:i/>
                <w:color w:val="000000"/>
                <w:sz w:val="20"/>
                <w:szCs w:val="20"/>
              </w:rPr>
              <w:t xml:space="preserve"> </w:t>
            </w:r>
            <w:r>
              <w:rPr>
                <w:rFonts w:ascii="Helv" w:hAnsi="Helv" w:cs="Helv"/>
                <w:i/>
                <w:color w:val="000000"/>
                <w:sz w:val="20"/>
                <w:szCs w:val="20"/>
              </w:rPr>
              <w:t xml:space="preserve">(à titre indicatif, </w:t>
            </w:r>
            <w:r w:rsidR="006E6329">
              <w:rPr>
                <w:rFonts w:ascii="Helv" w:hAnsi="Helv" w:cs="Helv"/>
                <w:i/>
                <w:color w:val="000000"/>
                <w:sz w:val="20"/>
                <w:szCs w:val="20"/>
              </w:rPr>
              <w:t>cette gratification est comprise en général entre 500 et 600</w:t>
            </w:r>
            <w:r>
              <w:rPr>
                <w:rFonts w:ascii="Helv" w:hAnsi="Helv" w:cs="Helv"/>
                <w:i/>
                <w:color w:val="000000"/>
                <w:sz w:val="20"/>
                <w:szCs w:val="20"/>
              </w:rPr>
              <w:t xml:space="preserve"> euros pour un temps complet – simulation sur :</w:t>
            </w:r>
          </w:p>
          <w:p w:rsidR="004834E9" w:rsidRDefault="004834E9" w:rsidP="00A659E1">
            <w:pPr>
              <w:pStyle w:val="Standard"/>
              <w:tabs>
                <w:tab w:val="left" w:pos="-720"/>
                <w:tab w:val="left" w:pos="0"/>
                <w:tab w:val="left" w:pos="720"/>
                <w:tab w:val="left" w:pos="1440"/>
                <w:tab w:val="left" w:pos="2160"/>
                <w:tab w:val="left" w:pos="2880"/>
                <w:tab w:val="left" w:pos="3600"/>
                <w:tab w:val="left" w:pos="4320"/>
              </w:tabs>
              <w:jc w:val="both"/>
              <w:rPr>
                <w:rFonts w:ascii="Helv" w:hAnsi="Helv" w:cs="Helv"/>
                <w:i/>
                <w:color w:val="000000"/>
                <w:sz w:val="20"/>
                <w:szCs w:val="20"/>
              </w:rPr>
            </w:pPr>
            <w:bookmarkStart w:id="0" w:name="_GoBack"/>
            <w:bookmarkEnd w:id="0"/>
            <w:r>
              <w:rPr>
                <w:rFonts w:ascii="Helv" w:hAnsi="Helv" w:cs="Helv"/>
                <w:i/>
                <w:color w:val="000000"/>
                <w:sz w:val="20"/>
                <w:szCs w:val="20"/>
              </w:rPr>
              <w:t>http://www.service-public.fr/simulateur/calcul/gratification-stagiaire).</w:t>
            </w:r>
          </w:p>
          <w:p w:rsidR="004834E9" w:rsidRDefault="004834E9" w:rsidP="00A659E1">
            <w:pPr>
              <w:pStyle w:val="Standard"/>
              <w:tabs>
                <w:tab w:val="left" w:pos="-720"/>
                <w:tab w:val="left" w:pos="0"/>
                <w:tab w:val="left" w:pos="1440"/>
                <w:tab w:val="left" w:pos="2160"/>
                <w:tab w:val="left" w:pos="2880"/>
                <w:tab w:val="left" w:pos="3600"/>
                <w:tab w:val="left" w:pos="4320"/>
              </w:tabs>
              <w:jc w:val="both"/>
              <w:rPr>
                <w:rFonts w:ascii="Helv" w:hAnsi="Helv" w:cs="Helv"/>
                <w:i/>
                <w:color w:val="000000"/>
                <w:sz w:val="20"/>
                <w:szCs w:val="20"/>
              </w:rPr>
            </w:pPr>
          </w:p>
          <w:p w:rsidR="004834E9" w:rsidRDefault="004834E9" w:rsidP="00A659E1">
            <w:pPr>
              <w:pStyle w:val="Standard"/>
              <w:tabs>
                <w:tab w:val="left" w:pos="-720"/>
                <w:tab w:val="left" w:pos="0"/>
                <w:tab w:val="left" w:pos="1440"/>
                <w:tab w:val="left" w:pos="2160"/>
                <w:tab w:val="left" w:pos="2880"/>
                <w:tab w:val="left" w:pos="3600"/>
                <w:tab w:val="left" w:pos="4320"/>
              </w:tabs>
              <w:jc w:val="both"/>
              <w:rPr>
                <w:rFonts w:ascii="Helv" w:hAnsi="Helv" w:cs="Helv"/>
                <w:i/>
                <w:color w:val="000000"/>
                <w:sz w:val="20"/>
                <w:szCs w:val="20"/>
              </w:rPr>
            </w:pPr>
            <w:r>
              <w:rPr>
                <w:rFonts w:ascii="Helv" w:hAnsi="Helv" w:cs="Helv"/>
                <w:i/>
                <w:color w:val="000000"/>
                <w:sz w:val="20"/>
                <w:szCs w:val="20"/>
              </w:rPr>
              <w:t xml:space="preserve">A l’issue du parcours du jeune, le titulaire </w:t>
            </w:r>
            <w:r w:rsidR="00381A4D">
              <w:rPr>
                <w:rFonts w:ascii="Helv" w:hAnsi="Helv" w:cs="Helv"/>
                <w:i/>
                <w:color w:val="000000"/>
                <w:sz w:val="20"/>
                <w:szCs w:val="20"/>
              </w:rPr>
              <w:t xml:space="preserve">est invité à </w:t>
            </w:r>
            <w:r>
              <w:rPr>
                <w:rFonts w:ascii="Helv" w:hAnsi="Helv" w:cs="Helv"/>
                <w:i/>
                <w:color w:val="000000"/>
                <w:sz w:val="20"/>
                <w:szCs w:val="20"/>
              </w:rPr>
              <w:t>explorer toutes les solutions d’avenir pérennes pour le jeune, en fonction de son projet professionnel – désormais établi – et de ses souhaits.</w:t>
            </w:r>
          </w:p>
          <w:p w:rsidR="004834E9" w:rsidRDefault="004834E9" w:rsidP="00A659E1">
            <w:pPr>
              <w:pStyle w:val="Standard"/>
              <w:tabs>
                <w:tab w:val="left" w:pos="-720"/>
                <w:tab w:val="left" w:pos="0"/>
                <w:tab w:val="left" w:pos="1440"/>
                <w:tab w:val="left" w:pos="2160"/>
                <w:tab w:val="left" w:pos="2880"/>
                <w:tab w:val="left" w:pos="3600"/>
                <w:tab w:val="left" w:pos="4320"/>
              </w:tabs>
              <w:jc w:val="both"/>
              <w:rPr>
                <w:rFonts w:ascii="Helv" w:hAnsi="Helv" w:cs="Helv"/>
                <w:i/>
                <w:color w:val="000000"/>
                <w:sz w:val="20"/>
                <w:szCs w:val="20"/>
              </w:rPr>
            </w:pPr>
          </w:p>
          <w:p w:rsidR="004834E9" w:rsidRDefault="004834E9" w:rsidP="00505664">
            <w:pPr>
              <w:pStyle w:val="Standard"/>
              <w:tabs>
                <w:tab w:val="left" w:pos="-720"/>
                <w:tab w:val="left" w:pos="0"/>
                <w:tab w:val="left" w:pos="1440"/>
                <w:tab w:val="left" w:pos="2160"/>
                <w:tab w:val="left" w:pos="2880"/>
                <w:tab w:val="left" w:pos="3600"/>
                <w:tab w:val="left" w:pos="4320"/>
              </w:tabs>
              <w:jc w:val="both"/>
              <w:rPr>
                <w:rFonts w:ascii="Helv" w:hAnsi="Helv" w:cs="Helv"/>
                <w:i/>
                <w:color w:val="000000"/>
                <w:sz w:val="20"/>
                <w:szCs w:val="20"/>
              </w:rPr>
            </w:pPr>
            <w:r>
              <w:rPr>
                <w:rFonts w:ascii="Helv" w:hAnsi="Helv" w:cs="Helv"/>
                <w:i/>
                <w:color w:val="000000"/>
                <w:sz w:val="20"/>
                <w:szCs w:val="20"/>
              </w:rPr>
              <w:t>L</w:t>
            </w:r>
            <w:r w:rsidR="00505664">
              <w:rPr>
                <w:rFonts w:ascii="Helv" w:hAnsi="Helv" w:cs="Helv"/>
                <w:i/>
                <w:color w:val="000000"/>
                <w:sz w:val="20"/>
                <w:szCs w:val="20"/>
              </w:rPr>
              <w:t xml:space="preserve">a MLDS </w:t>
            </w:r>
            <w:r>
              <w:rPr>
                <w:rFonts w:ascii="Helv" w:hAnsi="Helv" w:cs="Helv"/>
                <w:i/>
                <w:color w:val="000000"/>
                <w:sz w:val="20"/>
                <w:szCs w:val="20"/>
              </w:rPr>
              <w:t>informe le titulaire de la réussite du parcours et de la solution retenue par l’</w:t>
            </w:r>
            <w:r w:rsidR="00505664">
              <w:rPr>
                <w:rFonts w:ascii="Helv" w:hAnsi="Helv" w:cs="Helv"/>
                <w:i/>
                <w:color w:val="000000"/>
                <w:sz w:val="20"/>
                <w:szCs w:val="20"/>
              </w:rPr>
              <w:t>E</w:t>
            </w:r>
            <w:r>
              <w:rPr>
                <w:rFonts w:ascii="Helv" w:hAnsi="Helv" w:cs="Helv"/>
                <w:i/>
                <w:color w:val="000000"/>
                <w:sz w:val="20"/>
                <w:szCs w:val="20"/>
              </w:rPr>
              <w:t>ducation nationale en faveur du jeune.</w:t>
            </w:r>
          </w:p>
          <w:p w:rsidR="00381A4D" w:rsidRDefault="00381A4D" w:rsidP="00505664">
            <w:pPr>
              <w:pStyle w:val="Standard"/>
              <w:tabs>
                <w:tab w:val="left" w:pos="-720"/>
                <w:tab w:val="left" w:pos="0"/>
                <w:tab w:val="left" w:pos="1440"/>
                <w:tab w:val="left" w:pos="2160"/>
                <w:tab w:val="left" w:pos="2880"/>
                <w:tab w:val="left" w:pos="3600"/>
                <w:tab w:val="left" w:pos="4320"/>
              </w:tabs>
              <w:jc w:val="both"/>
              <w:rPr>
                <w:rFonts w:ascii="Helv" w:hAnsi="Helv" w:cs="Helv"/>
                <w:i/>
                <w:color w:val="000000"/>
                <w:sz w:val="20"/>
                <w:szCs w:val="20"/>
              </w:rPr>
            </w:pPr>
          </w:p>
        </w:tc>
      </w:tr>
    </w:tbl>
    <w:p w:rsidR="004834E9" w:rsidRDefault="004834E9" w:rsidP="004834E9">
      <w:pPr>
        <w:pStyle w:val="Standard"/>
      </w:pPr>
    </w:p>
    <w:p w:rsidR="004834E9" w:rsidRDefault="004834E9" w:rsidP="004834E9">
      <w:pPr>
        <w:pStyle w:val="Standard"/>
      </w:pPr>
    </w:p>
    <w:p w:rsidR="006A6095" w:rsidRDefault="006A6095">
      <w:pPr>
        <w:rPr>
          <w:rFonts w:hint="eastAsia"/>
        </w:rPr>
      </w:pPr>
    </w:p>
    <w:sectPr w:rsidR="006A6095" w:rsidSect="004E3EB8">
      <w:headerReference w:type="default" r:id="rId9"/>
      <w:footerReference w:type="default" r:id="rId10"/>
      <w:headerReference w:type="first" r:id="rId11"/>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AC" w:rsidRDefault="006F6BAC">
      <w:pPr>
        <w:rPr>
          <w:rFonts w:hint="eastAsia"/>
        </w:rPr>
      </w:pPr>
      <w:r>
        <w:separator/>
      </w:r>
    </w:p>
  </w:endnote>
  <w:endnote w:type="continuationSeparator" w:id="0">
    <w:p w:rsidR="006F6BAC" w:rsidRDefault="006F6B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03794"/>
      <w:docPartObj>
        <w:docPartGallery w:val="Page Numbers (Bottom of Page)"/>
        <w:docPartUnique/>
      </w:docPartObj>
    </w:sdtPr>
    <w:sdtEndPr/>
    <w:sdtContent>
      <w:p w:rsidR="004E3EB8" w:rsidRDefault="004E3EB8">
        <w:pPr>
          <w:pStyle w:val="Pieddepage"/>
          <w:jc w:val="center"/>
          <w:rPr>
            <w:rFonts w:hint="eastAsia"/>
          </w:rPr>
        </w:pPr>
        <w:r>
          <w:fldChar w:fldCharType="begin"/>
        </w:r>
        <w:r>
          <w:instrText>PAGE   \* MERGEFORMAT</w:instrText>
        </w:r>
        <w:r>
          <w:fldChar w:fldCharType="separate"/>
        </w:r>
        <w:r w:rsidR="006E6329">
          <w:rPr>
            <w:rFonts w:hint="eastAsia"/>
            <w:noProof/>
          </w:rPr>
          <w:t>3</w:t>
        </w:r>
        <w:r>
          <w:fldChar w:fldCharType="end"/>
        </w:r>
      </w:p>
    </w:sdtContent>
  </w:sdt>
  <w:p w:rsidR="004E3EB8" w:rsidRDefault="004E3EB8">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AC" w:rsidRDefault="006F6BAC">
      <w:pPr>
        <w:rPr>
          <w:rFonts w:hint="eastAsia"/>
        </w:rPr>
      </w:pPr>
      <w:r>
        <w:separator/>
      </w:r>
    </w:p>
  </w:footnote>
  <w:footnote w:type="continuationSeparator" w:id="0">
    <w:p w:rsidR="006F6BAC" w:rsidRDefault="006F6BA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4" w:rsidRDefault="00A50074"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A50074" w:rsidRDefault="00A50074"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A50074" w:rsidRDefault="00A50074"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7657D5" w:rsidRDefault="007657D5"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7657D5" w:rsidRDefault="007657D5"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7657D5" w:rsidRDefault="007657D5" w:rsidP="00A50074">
    <w:pPr>
      <w:widowControl/>
      <w:suppressAutoHyphens w:val="0"/>
      <w:autoSpaceDN/>
      <w:jc w:val="center"/>
      <w:textAlignment w:val="auto"/>
      <w:rPr>
        <w:rFonts w:ascii="Times New Roman" w:eastAsia="Times" w:hAnsi="Times New Roman" w:cs="Times New Roman"/>
        <w:kern w:val="0"/>
        <w:sz w:val="20"/>
        <w:szCs w:val="20"/>
        <w:lang w:eastAsia="fr-FR" w:bidi="ar-SA"/>
      </w:rPr>
    </w:pPr>
  </w:p>
  <w:p w:rsidR="00A50074" w:rsidRDefault="00A5007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01" w:rsidRDefault="006E6329">
    <w:pPr>
      <w:pStyle w:val="Standard"/>
      <w:rPr>
        <w:rFonts w:eastAsia="Times"/>
        <w:sz w:val="20"/>
        <w:szCs w:val="20"/>
      </w:rPr>
    </w:pPr>
  </w:p>
  <w:p w:rsidR="005D6301" w:rsidRDefault="006E6329">
    <w:pPr>
      <w:pStyle w:val="Standard"/>
      <w:rPr>
        <w:rFonts w:eastAsia="Times"/>
        <w:sz w:val="20"/>
        <w:szCs w:val="20"/>
      </w:rPr>
    </w:pPr>
  </w:p>
  <w:p w:rsidR="009030E0" w:rsidRDefault="009030E0" w:rsidP="009030E0">
    <w:pPr>
      <w:rPr>
        <w:rFonts w:eastAsia="Times"/>
        <w:sz w:val="20"/>
        <w:szCs w:val="20"/>
      </w:rPr>
    </w:pPr>
  </w:p>
  <w:p w:rsidR="009030E0" w:rsidRDefault="009030E0" w:rsidP="009030E0">
    <w:pPr>
      <w:jc w:val="center"/>
      <w:rPr>
        <w:rFonts w:eastAsia="Times"/>
        <w:sz w:val="20"/>
        <w:szCs w:val="20"/>
      </w:rPr>
    </w:pPr>
  </w:p>
  <w:p w:rsidR="009030E0" w:rsidRDefault="009030E0" w:rsidP="009030E0">
    <w:pPr>
      <w:jc w:val="center"/>
      <w:rPr>
        <w:rFonts w:eastAsia="Times"/>
        <w:sz w:val="20"/>
        <w:szCs w:val="20"/>
      </w:rPr>
    </w:pPr>
  </w:p>
  <w:p w:rsidR="009030E0" w:rsidRPr="009030E0" w:rsidRDefault="009030E0" w:rsidP="009030E0">
    <w:pPr>
      <w:jc w:val="center"/>
      <w:rPr>
        <w:rFonts w:ascii="Times New Roman" w:eastAsia="Times" w:hAnsi="Times New Roman" w:cs="Times New Roman"/>
        <w:color w:val="00000A"/>
        <w:sz w:val="20"/>
        <w:szCs w:val="20"/>
        <w:lang w:eastAsia="fr-FR" w:bidi="ar-SA"/>
      </w:rPr>
    </w:pPr>
    <w:r w:rsidRPr="009030E0">
      <w:rPr>
        <w:rFonts w:ascii="Times New Roman" w:eastAsia="Times" w:hAnsi="Times New Roman" w:cs="Times New Roman"/>
        <w:color w:val="00000A"/>
        <w:sz w:val="20"/>
        <w:szCs w:val="20"/>
        <w:lang w:eastAsia="fr-FR" w:bidi="ar-SA"/>
      </w:rPr>
      <w:t>MINISTÈRE DE L’ÉDUCATION NATIONALE,</w:t>
    </w:r>
  </w:p>
  <w:p w:rsidR="009030E0" w:rsidRDefault="006E6329" w:rsidP="009030E0">
    <w:pPr>
      <w:pStyle w:val="En-tte"/>
      <w:jc w:val="center"/>
    </w:pPr>
    <w:r>
      <w:rPr>
        <w:rFonts w:eastAsia="Times"/>
        <w:sz w:val="20"/>
        <w:szCs w:val="20"/>
      </w:rPr>
      <w:t xml:space="preserve">MINISTERE DE </w:t>
    </w:r>
    <w:r w:rsidR="009030E0">
      <w:rPr>
        <w:rFonts w:eastAsia="Times"/>
        <w:sz w:val="20"/>
        <w:szCs w:val="20"/>
      </w:rPr>
      <w:t>L’ENSEIGNEMENT SUPÉRIEUR</w:t>
    </w:r>
    <w:r>
      <w:rPr>
        <w:rFonts w:eastAsia="Times"/>
        <w:sz w:val="20"/>
        <w:szCs w:val="20"/>
      </w:rPr>
      <w:t xml:space="preserve">, </w:t>
    </w:r>
    <w:r w:rsidR="009030E0">
      <w:rPr>
        <w:rFonts w:eastAsia="Times"/>
        <w:sz w:val="20"/>
        <w:szCs w:val="20"/>
      </w:rPr>
      <w:t>DE LA RECHERCHE</w:t>
    </w:r>
    <w:r w:rsidR="009030E0">
      <w:rPr>
        <w:noProof/>
      </w:rPr>
      <w:drawing>
        <wp:anchor distT="0" distB="0" distL="114300" distR="114300" simplePos="0" relativeHeight="251659264" behindDoc="0" locked="1" layoutInCell="0" allowOverlap="1">
          <wp:simplePos x="0" y="0"/>
          <wp:positionH relativeFrom="page">
            <wp:posOffset>3392805</wp:posOffset>
          </wp:positionH>
          <wp:positionV relativeFrom="page">
            <wp:posOffset>512445</wp:posOffset>
          </wp:positionV>
          <wp:extent cx="1078865" cy="633730"/>
          <wp:effectExtent l="0" t="0" r="6985" b="0"/>
          <wp:wrapTopAndBottom/>
          <wp:docPr id="1" name="Image 1"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3373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w:sz w:val="20"/>
        <w:szCs w:val="20"/>
      </w:rPr>
      <w:t xml:space="preserve"> ET DE L’INNOVATION</w:t>
    </w:r>
  </w:p>
  <w:p w:rsidR="005D6301" w:rsidRDefault="006E6329">
    <w:pPr>
      <w:pStyle w:val="Standard"/>
      <w:rPr>
        <w:rFonts w:eastAsia="Times"/>
        <w:sz w:val="20"/>
        <w:szCs w:val="20"/>
      </w:rPr>
    </w:pPr>
  </w:p>
  <w:p w:rsidR="007657D5" w:rsidRDefault="007657D5">
    <w:pPr>
      <w:pStyle w:val="Standard"/>
      <w:rPr>
        <w:rFonts w:eastAsia="Time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4CA"/>
    <w:multiLevelType w:val="multilevel"/>
    <w:tmpl w:val="B5DEA87E"/>
    <w:styleLink w:val="WWNum1"/>
    <w:lvl w:ilvl="0">
      <w:start w:val="1"/>
      <w:numFmt w:val="decimal"/>
      <w:lvlText w:val="%1."/>
      <w:lvlJc w:val="left"/>
      <w:rPr>
        <w:b w:val="0"/>
      </w:rPr>
    </w:lvl>
    <w:lvl w:ilvl="1">
      <w:numFmt w:val="bullet"/>
      <w:lvlText w:val="-"/>
      <w:lvlJc w:val="left"/>
      <w:rPr>
        <w:rFonts w:ascii="Arial" w:hAnsi="Arial" w:cs="Arial"/>
        <w:b w:val="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F8E1E44"/>
    <w:multiLevelType w:val="multilevel"/>
    <w:tmpl w:val="8488E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5907ED"/>
    <w:multiLevelType w:val="multilevel"/>
    <w:tmpl w:val="9EEC4172"/>
    <w:styleLink w:val="WWNum2"/>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505172C2"/>
    <w:multiLevelType w:val="hybridMultilevel"/>
    <w:tmpl w:val="9D86C3A6"/>
    <w:lvl w:ilvl="0" w:tplc="A35EE668">
      <w:numFmt w:val="bullet"/>
      <w:lvlText w:val="-"/>
      <w:lvlJc w:val="left"/>
      <w:pPr>
        <w:ind w:left="720" w:hanging="360"/>
      </w:pPr>
      <w:rPr>
        <w:rFonts w:ascii="Arial" w:eastAsia="Times"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C25163"/>
    <w:multiLevelType w:val="hybridMultilevel"/>
    <w:tmpl w:val="F230A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65"/>
    <w:rsid w:val="00142B9E"/>
    <w:rsid w:val="0032750D"/>
    <w:rsid w:val="00381A4D"/>
    <w:rsid w:val="003A3B65"/>
    <w:rsid w:val="003D0F36"/>
    <w:rsid w:val="004834E9"/>
    <w:rsid w:val="004E3EB8"/>
    <w:rsid w:val="00505664"/>
    <w:rsid w:val="00594274"/>
    <w:rsid w:val="006A6095"/>
    <w:rsid w:val="006E6329"/>
    <w:rsid w:val="006F4305"/>
    <w:rsid w:val="006F6BAC"/>
    <w:rsid w:val="007657D5"/>
    <w:rsid w:val="00784CE8"/>
    <w:rsid w:val="007D7C4D"/>
    <w:rsid w:val="0086569C"/>
    <w:rsid w:val="009030E0"/>
    <w:rsid w:val="00A50074"/>
    <w:rsid w:val="00A604C2"/>
    <w:rsid w:val="00A61816"/>
    <w:rsid w:val="00B34C95"/>
    <w:rsid w:val="00BF01A2"/>
    <w:rsid w:val="00C332B2"/>
    <w:rsid w:val="00DC2E58"/>
    <w:rsid w:val="00F6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4E9"/>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834E9"/>
    <w:pPr>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fr-FR"/>
    </w:rPr>
  </w:style>
  <w:style w:type="paragraph" w:styleId="En-tte">
    <w:name w:val="header"/>
    <w:basedOn w:val="Standard"/>
    <w:link w:val="En-tteCar"/>
    <w:uiPriority w:val="99"/>
    <w:rsid w:val="004834E9"/>
    <w:pPr>
      <w:tabs>
        <w:tab w:val="center" w:pos="4536"/>
        <w:tab w:val="right" w:pos="9072"/>
      </w:tabs>
    </w:pPr>
  </w:style>
  <w:style w:type="character" w:customStyle="1" w:styleId="En-tteCar">
    <w:name w:val="En-tête Car"/>
    <w:basedOn w:val="Policepardfaut"/>
    <w:link w:val="En-tte"/>
    <w:uiPriority w:val="99"/>
    <w:rsid w:val="004834E9"/>
    <w:rPr>
      <w:rFonts w:ascii="Times New Roman" w:eastAsia="Times New Roman" w:hAnsi="Times New Roman" w:cs="Times New Roman"/>
      <w:color w:val="00000A"/>
      <w:kern w:val="3"/>
      <w:sz w:val="24"/>
      <w:szCs w:val="24"/>
      <w:lang w:eastAsia="fr-FR"/>
    </w:rPr>
  </w:style>
  <w:style w:type="numbering" w:customStyle="1" w:styleId="WWNum1">
    <w:name w:val="WWNum1"/>
    <w:basedOn w:val="Aucuneliste"/>
    <w:rsid w:val="004834E9"/>
    <w:pPr>
      <w:numPr>
        <w:numId w:val="1"/>
      </w:numPr>
    </w:pPr>
  </w:style>
  <w:style w:type="numbering" w:customStyle="1" w:styleId="WWNum2">
    <w:name w:val="WWNum2"/>
    <w:basedOn w:val="Aucuneliste"/>
    <w:rsid w:val="004834E9"/>
    <w:pPr>
      <w:numPr>
        <w:numId w:val="2"/>
      </w:numPr>
    </w:pPr>
  </w:style>
  <w:style w:type="paragraph" w:styleId="Pieddepage">
    <w:name w:val="footer"/>
    <w:basedOn w:val="Normal"/>
    <w:link w:val="PieddepageCar"/>
    <w:uiPriority w:val="99"/>
    <w:unhideWhenUsed/>
    <w:rsid w:val="00BF01A2"/>
    <w:pPr>
      <w:tabs>
        <w:tab w:val="center" w:pos="4536"/>
        <w:tab w:val="right" w:pos="9072"/>
      </w:tabs>
    </w:pPr>
    <w:rPr>
      <w:szCs w:val="21"/>
    </w:rPr>
  </w:style>
  <w:style w:type="character" w:customStyle="1" w:styleId="PieddepageCar">
    <w:name w:val="Pied de page Car"/>
    <w:basedOn w:val="Policepardfaut"/>
    <w:link w:val="Pieddepage"/>
    <w:uiPriority w:val="99"/>
    <w:rsid w:val="00BF01A2"/>
    <w:rPr>
      <w:rFonts w:ascii="Liberation Sans" w:eastAsia="SimSun" w:hAnsi="Liberation Sans"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4E9"/>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834E9"/>
    <w:pPr>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fr-FR"/>
    </w:rPr>
  </w:style>
  <w:style w:type="paragraph" w:styleId="En-tte">
    <w:name w:val="header"/>
    <w:basedOn w:val="Standard"/>
    <w:link w:val="En-tteCar"/>
    <w:uiPriority w:val="99"/>
    <w:rsid w:val="004834E9"/>
    <w:pPr>
      <w:tabs>
        <w:tab w:val="center" w:pos="4536"/>
        <w:tab w:val="right" w:pos="9072"/>
      </w:tabs>
    </w:pPr>
  </w:style>
  <w:style w:type="character" w:customStyle="1" w:styleId="En-tteCar">
    <w:name w:val="En-tête Car"/>
    <w:basedOn w:val="Policepardfaut"/>
    <w:link w:val="En-tte"/>
    <w:uiPriority w:val="99"/>
    <w:rsid w:val="004834E9"/>
    <w:rPr>
      <w:rFonts w:ascii="Times New Roman" w:eastAsia="Times New Roman" w:hAnsi="Times New Roman" w:cs="Times New Roman"/>
      <w:color w:val="00000A"/>
      <w:kern w:val="3"/>
      <w:sz w:val="24"/>
      <w:szCs w:val="24"/>
      <w:lang w:eastAsia="fr-FR"/>
    </w:rPr>
  </w:style>
  <w:style w:type="numbering" w:customStyle="1" w:styleId="WWNum1">
    <w:name w:val="WWNum1"/>
    <w:basedOn w:val="Aucuneliste"/>
    <w:rsid w:val="004834E9"/>
    <w:pPr>
      <w:numPr>
        <w:numId w:val="1"/>
      </w:numPr>
    </w:pPr>
  </w:style>
  <w:style w:type="numbering" w:customStyle="1" w:styleId="WWNum2">
    <w:name w:val="WWNum2"/>
    <w:basedOn w:val="Aucuneliste"/>
    <w:rsid w:val="004834E9"/>
    <w:pPr>
      <w:numPr>
        <w:numId w:val="2"/>
      </w:numPr>
    </w:pPr>
  </w:style>
  <w:style w:type="paragraph" w:styleId="Pieddepage">
    <w:name w:val="footer"/>
    <w:basedOn w:val="Normal"/>
    <w:link w:val="PieddepageCar"/>
    <w:uiPriority w:val="99"/>
    <w:unhideWhenUsed/>
    <w:rsid w:val="00BF01A2"/>
    <w:pPr>
      <w:tabs>
        <w:tab w:val="center" w:pos="4536"/>
        <w:tab w:val="right" w:pos="9072"/>
      </w:tabs>
    </w:pPr>
    <w:rPr>
      <w:szCs w:val="21"/>
    </w:rPr>
  </w:style>
  <w:style w:type="character" w:customStyle="1" w:styleId="PieddepageCar">
    <w:name w:val="Pied de page Car"/>
    <w:basedOn w:val="Policepardfaut"/>
    <w:link w:val="Pieddepage"/>
    <w:uiPriority w:val="99"/>
    <w:rsid w:val="00BF01A2"/>
    <w:rPr>
      <w:rFonts w:ascii="Liberation Sans" w:eastAsia="SimSun" w:hAnsi="Liberation San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08B7-FB28-4068-AFEA-FF005B8A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Administration centrale</cp:lastModifiedBy>
  <cp:revision>21</cp:revision>
  <dcterms:created xsi:type="dcterms:W3CDTF">2016-06-10T15:47:00Z</dcterms:created>
  <dcterms:modified xsi:type="dcterms:W3CDTF">2018-02-07T11:05:00Z</dcterms:modified>
</cp:coreProperties>
</file>